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27347" w14:textId="77777777" w:rsidR="00D80A6B" w:rsidRDefault="00D80A6B" w:rsidP="00610E67">
      <w:pPr>
        <w:pStyle w:val="Texte2"/>
        <w:ind w:left="0"/>
        <w:rPr>
          <w:rFonts w:eastAsiaTheme="minorHAnsi"/>
        </w:rPr>
      </w:pPr>
    </w:p>
    <w:p w14:paraId="5DC69C5E" w14:textId="227E48A6" w:rsidR="00D67399" w:rsidRPr="0046101F" w:rsidRDefault="004F618B" w:rsidP="0046101F">
      <w:pPr>
        <w:pStyle w:val="03paragraphe"/>
        <w:ind w:left="708"/>
        <w:jc w:val="center"/>
        <w:rPr>
          <w:b/>
          <w:bCs/>
          <w:sz w:val="32"/>
          <w:szCs w:val="32"/>
        </w:rPr>
      </w:pPr>
      <w:bookmarkStart w:id="0" w:name="_Hlk187067156"/>
      <w:r>
        <w:rPr>
          <w:b/>
          <w:bCs/>
          <w:sz w:val="32"/>
          <w:szCs w:val="32"/>
        </w:rPr>
        <w:t>E</w:t>
      </w:r>
      <w:r w:rsidR="00D37ACF">
        <w:rPr>
          <w:b/>
          <w:bCs/>
          <w:sz w:val="32"/>
          <w:szCs w:val="32"/>
        </w:rPr>
        <w:t>XEMPLE DE COMPLEMENT AU CONTRAT DE BAIL</w:t>
      </w:r>
    </w:p>
    <w:p w14:paraId="54C6CDF6" w14:textId="01157873" w:rsidR="00D37ACF" w:rsidRDefault="00F56C3C" w:rsidP="00D37ACF">
      <w:pPr>
        <w:tabs>
          <w:tab w:val="left" w:pos="1985"/>
        </w:tabs>
        <w:spacing w:before="240" w:after="120"/>
        <w:jc w:val="both"/>
      </w:pPr>
      <w:r>
        <w:t>Ce document</w:t>
      </w:r>
      <w:r w:rsidR="00D37ACF">
        <w:t xml:space="preserve"> présente une proposition de complément au contrat de bail pour tous les futurs locataires. Les propriétaires s’engagent à ajouter un tel complément et à les faire signer à leurs locataires présents et futurs.</w:t>
      </w:r>
    </w:p>
    <w:p w14:paraId="3C02B863" w14:textId="5B2614B3" w:rsidR="00166DDF" w:rsidRPr="00D37ACF" w:rsidRDefault="00D37ACF" w:rsidP="00D37ACF">
      <w:pPr>
        <w:tabs>
          <w:tab w:val="left" w:pos="1985"/>
        </w:tabs>
        <w:spacing w:before="240" w:after="120"/>
        <w:rPr>
          <w:i/>
          <w:iCs/>
          <w:sz w:val="18"/>
          <w:szCs w:val="20"/>
        </w:rPr>
      </w:pPr>
      <w:r w:rsidRPr="00D37ACF">
        <w:rPr>
          <w:i/>
          <w:iCs/>
          <w:sz w:val="18"/>
          <w:szCs w:val="20"/>
        </w:rPr>
        <w:t>Tiré du document OFEN « Guide pratique de la consommation propre »</w:t>
      </w:r>
      <w:r>
        <w:rPr>
          <w:i/>
          <w:iCs/>
          <w:sz w:val="18"/>
          <w:szCs w:val="20"/>
        </w:rPr>
        <w:t> :</w:t>
      </w:r>
    </w:p>
    <w:tbl>
      <w:tblPr>
        <w:tblW w:w="8625" w:type="dxa"/>
        <w:tblBorders>
          <w:top w:val="single" w:sz="6" w:space="0" w:color="9CB3C0"/>
          <w:left w:val="single" w:sz="6" w:space="0" w:color="9CB3C0"/>
          <w:bottom w:val="single" w:sz="6" w:space="0" w:color="9CB3C0"/>
          <w:right w:val="single" w:sz="6" w:space="0" w:color="9CB3C0"/>
          <w:insideH w:val="single" w:sz="6" w:space="0" w:color="9CB3C0"/>
        </w:tblBorders>
        <w:tblCellMar>
          <w:top w:w="57" w:type="dxa"/>
          <w:left w:w="57" w:type="dxa"/>
          <w:right w:w="113" w:type="dxa"/>
        </w:tblCellMar>
        <w:tblLook w:val="04A0" w:firstRow="1" w:lastRow="0" w:firstColumn="1" w:lastColumn="0" w:noHBand="0" w:noVBand="1"/>
      </w:tblPr>
      <w:tblGrid>
        <w:gridCol w:w="8625"/>
      </w:tblGrid>
      <w:tr w:rsidR="00D37ACF" w:rsidRPr="00925AAF" w14:paraId="2C30F46D" w14:textId="77777777" w:rsidTr="00D37ACF">
        <w:trPr>
          <w:trHeight w:val="300"/>
        </w:trPr>
        <w:tc>
          <w:tcPr>
            <w:tcW w:w="8625" w:type="dxa"/>
            <w:shd w:val="clear" w:color="auto" w:fill="auto"/>
            <w:vAlign w:val="center"/>
            <w:hideMark/>
          </w:tcPr>
          <w:p w14:paraId="580581F2" w14:textId="77777777" w:rsidR="00D37ACF" w:rsidRDefault="00D37ACF" w:rsidP="00D37ACF">
            <w:pPr>
              <w:spacing w:before="120" w:after="120" w:line="240" w:lineRule="auto"/>
              <w:ind w:left="57"/>
              <w:jc w:val="both"/>
              <w:textAlignment w:val="baseline"/>
              <w:rPr>
                <w:rFonts w:eastAsia="Times New Roman" w:cs="Calibri"/>
                <w:b/>
                <w:bCs/>
                <w:sz w:val="18"/>
                <w:szCs w:val="18"/>
                <w:lang w:eastAsia="fr-CH"/>
              </w:rPr>
            </w:pPr>
            <w:r w:rsidRPr="00D37ACF">
              <w:rPr>
                <w:rFonts w:eastAsia="Times New Roman" w:cs="Calibri"/>
                <w:b/>
                <w:bCs/>
                <w:sz w:val="18"/>
                <w:szCs w:val="18"/>
                <w:lang w:eastAsia="fr-CH"/>
              </w:rPr>
              <w:t xml:space="preserve">Regroupement dans le cadre de la consommation propre d’électricité photovoltaïque </w:t>
            </w:r>
          </w:p>
          <w:p w14:paraId="2712F381" w14:textId="77777777" w:rsidR="00FC0474" w:rsidRPr="00D37ACF" w:rsidRDefault="00FC0474" w:rsidP="00FC0474">
            <w:pPr>
              <w:spacing w:before="120" w:after="120" w:line="240" w:lineRule="auto"/>
              <w:ind w:left="57"/>
              <w:textAlignment w:val="baseline"/>
              <w:rPr>
                <w:rFonts w:eastAsia="Times New Roman" w:cs="Calibri"/>
                <w:b/>
                <w:bCs/>
                <w:sz w:val="18"/>
                <w:szCs w:val="18"/>
                <w:lang w:eastAsia="fr-CH"/>
              </w:rPr>
            </w:pPr>
            <w:r w:rsidRPr="00D37ACF">
              <w:rPr>
                <w:rFonts w:eastAsia="Times New Roman" w:cs="Calibri"/>
                <w:b/>
                <w:bCs/>
                <w:sz w:val="18"/>
                <w:szCs w:val="18"/>
                <w:lang w:eastAsia="fr-CH"/>
              </w:rPr>
              <w:t>Complément au contrat de bail</w:t>
            </w:r>
          </w:p>
          <w:p w14:paraId="66571520" w14:textId="1D14734F" w:rsidR="00D37ACF" w:rsidRPr="00D37ACF" w:rsidRDefault="00D37ACF" w:rsidP="00D37ACF">
            <w:pPr>
              <w:spacing w:before="120" w:after="120" w:line="240" w:lineRule="auto"/>
              <w:ind w:left="709"/>
              <w:jc w:val="both"/>
              <w:textAlignment w:val="baseline"/>
              <w:rPr>
                <w:rFonts w:eastAsia="Times New Roman" w:cs="Calibri"/>
                <w:sz w:val="18"/>
                <w:szCs w:val="18"/>
                <w:lang w:eastAsia="fr-CH"/>
              </w:rPr>
            </w:pPr>
            <w:r w:rsidRPr="00D37ACF">
              <w:rPr>
                <w:rFonts w:eastAsia="Times New Roman" w:cs="Calibri"/>
                <w:b/>
                <w:bCs/>
                <w:sz w:val="18"/>
                <w:szCs w:val="18"/>
                <w:lang w:eastAsia="fr-CH"/>
              </w:rPr>
              <w:t>Installation PV domestique :</w:t>
            </w:r>
            <w:r w:rsidRPr="00D37ACF">
              <w:rPr>
                <w:rFonts w:eastAsia="Times New Roman" w:cs="Calibri"/>
                <w:sz w:val="18"/>
                <w:szCs w:val="18"/>
                <w:lang w:eastAsia="fr-CH"/>
              </w:rPr>
              <w:t xml:space="preserve"> Lieu de production (adresse) </w:t>
            </w:r>
          </w:p>
          <w:p w14:paraId="0BC830BF" w14:textId="77777777" w:rsidR="00D37ACF" w:rsidRPr="00D37ACF" w:rsidRDefault="00D37ACF" w:rsidP="00D37ACF">
            <w:pPr>
              <w:spacing w:after="0" w:line="240" w:lineRule="auto"/>
              <w:ind w:left="709"/>
              <w:jc w:val="both"/>
              <w:textAlignment w:val="baseline"/>
              <w:rPr>
                <w:rFonts w:eastAsia="Times New Roman" w:cs="Calibri"/>
                <w:sz w:val="18"/>
                <w:szCs w:val="18"/>
                <w:lang w:eastAsia="fr-CH"/>
              </w:rPr>
            </w:pPr>
            <w:r w:rsidRPr="00D37ACF">
              <w:rPr>
                <w:rFonts w:eastAsia="Times New Roman" w:cs="Calibri"/>
                <w:b/>
                <w:bCs/>
                <w:sz w:val="18"/>
                <w:szCs w:val="18"/>
                <w:lang w:eastAsia="fr-CH"/>
              </w:rPr>
              <w:t>Consommateurs d’énergie raccordés :</w:t>
            </w:r>
            <w:r w:rsidRPr="00D37ACF">
              <w:rPr>
                <w:rFonts w:eastAsia="Times New Roman" w:cs="Calibri"/>
                <w:sz w:val="18"/>
                <w:szCs w:val="18"/>
                <w:lang w:eastAsia="fr-CH"/>
              </w:rPr>
              <w:t xml:space="preserve"> Les parties qui louent l’(les) immeuble(s) (adresse) </w:t>
            </w:r>
          </w:p>
          <w:p w14:paraId="78D1D4BF" w14:textId="77777777" w:rsidR="00D37ACF" w:rsidRPr="00D37ACF" w:rsidRDefault="00D37ACF" w:rsidP="00D37ACF">
            <w:pPr>
              <w:spacing w:after="0" w:line="240" w:lineRule="auto"/>
              <w:ind w:left="709"/>
              <w:jc w:val="both"/>
              <w:textAlignment w:val="baseline"/>
              <w:rPr>
                <w:rFonts w:eastAsia="Times New Roman" w:cs="Segoe UI"/>
                <w:sz w:val="16"/>
                <w:szCs w:val="16"/>
                <w:lang w:eastAsia="fr-CH"/>
              </w:rPr>
            </w:pPr>
          </w:p>
          <w:p w14:paraId="74C86638" w14:textId="77777777" w:rsidR="00D37ACF" w:rsidRPr="00D37ACF" w:rsidRDefault="00D37ACF" w:rsidP="00D37ACF">
            <w:pPr>
              <w:spacing w:before="240" w:after="120" w:line="240" w:lineRule="auto"/>
              <w:ind w:left="57"/>
              <w:jc w:val="both"/>
              <w:textAlignment w:val="baseline"/>
              <w:rPr>
                <w:rFonts w:ascii="Arial" w:hAnsi="Arial" w:cs="Arial"/>
                <w:color w:val="000000"/>
                <w:sz w:val="16"/>
                <w:szCs w:val="16"/>
                <w:lang w:val="fr-FR"/>
              </w:rPr>
            </w:pPr>
            <w:r w:rsidRPr="00D37ACF">
              <w:rPr>
                <w:rFonts w:ascii="Arial" w:hAnsi="Arial" w:cs="Arial"/>
                <w:b/>
                <w:bCs/>
                <w:color w:val="000000"/>
                <w:sz w:val="16"/>
                <w:szCs w:val="16"/>
                <w:lang w:val="fr-FR"/>
              </w:rPr>
              <w:t xml:space="preserve">1. </w:t>
            </w:r>
            <w:r w:rsidRPr="00D37ACF">
              <w:rPr>
                <w:rFonts w:eastAsia="Times New Roman" w:cs="Calibri"/>
                <w:b/>
                <w:bCs/>
                <w:sz w:val="16"/>
                <w:szCs w:val="16"/>
                <w:lang w:eastAsia="fr-CH"/>
              </w:rPr>
              <w:t>Participation</w:t>
            </w:r>
            <w:r w:rsidRPr="00D37ACF">
              <w:rPr>
                <w:rFonts w:ascii="Arial" w:hAnsi="Arial" w:cs="Arial"/>
                <w:b/>
                <w:bCs/>
                <w:color w:val="000000"/>
                <w:sz w:val="16"/>
                <w:szCs w:val="16"/>
                <w:lang w:val="fr-FR"/>
              </w:rPr>
              <w:t xml:space="preserve"> au regroupement </w:t>
            </w:r>
          </w:p>
          <w:p w14:paraId="470656D3" w14:textId="77777777" w:rsidR="00D37ACF" w:rsidRPr="00D37ACF" w:rsidRDefault="00D37ACF" w:rsidP="00D37ACF">
            <w:pPr>
              <w:spacing w:before="120" w:after="120" w:line="240" w:lineRule="auto"/>
              <w:ind w:left="57"/>
              <w:jc w:val="both"/>
              <w:textAlignment w:val="baseline"/>
              <w:rPr>
                <w:rFonts w:eastAsia="Times New Roman" w:cs="Calibri"/>
                <w:sz w:val="16"/>
                <w:szCs w:val="16"/>
                <w:lang w:eastAsia="fr-CH"/>
              </w:rPr>
            </w:pPr>
            <w:r w:rsidRPr="00D37ACF">
              <w:rPr>
                <w:rFonts w:eastAsia="Times New Roman" w:cs="Calibri"/>
                <w:sz w:val="16"/>
                <w:szCs w:val="16"/>
                <w:lang w:eastAsia="fr-CH"/>
              </w:rPr>
              <w:t xml:space="preserve">Les parties au contrat de bail de l’immeuble/lotissement (adresse) forment un regroupement dans le cadre de la consommation propre (RCP) au sens de l’art. 17, al. 2 de la loi sur l’énergie (LEne) pour l’utilisation de l’installation PV domestique. Le regroupement n’a plus qu’un seul point de mesure vis-à-vis du gestionnaire de réseau (art. 18, al. 1 LEne). Avec cet avenant au contrat, le locataire devient membre du regroupement. Les dispositions contractuelles suivantes s’appliquent à la relation interne. </w:t>
            </w:r>
          </w:p>
          <w:p w14:paraId="593DA675" w14:textId="77777777" w:rsidR="00D37ACF" w:rsidRPr="00D37ACF" w:rsidRDefault="00D37ACF" w:rsidP="00D37ACF">
            <w:pPr>
              <w:spacing w:before="240" w:after="120" w:line="240" w:lineRule="auto"/>
              <w:ind w:left="57"/>
              <w:jc w:val="both"/>
              <w:textAlignment w:val="baseline"/>
              <w:rPr>
                <w:rFonts w:ascii="Arial" w:hAnsi="Arial" w:cs="Arial"/>
                <w:b/>
                <w:bCs/>
                <w:color w:val="000000"/>
                <w:sz w:val="16"/>
                <w:szCs w:val="16"/>
                <w:lang w:val="fr-FR"/>
              </w:rPr>
            </w:pPr>
            <w:r w:rsidRPr="00D37ACF">
              <w:rPr>
                <w:rFonts w:ascii="Arial" w:hAnsi="Arial" w:cs="Arial"/>
                <w:b/>
                <w:bCs/>
                <w:color w:val="000000"/>
                <w:sz w:val="16"/>
                <w:szCs w:val="16"/>
                <w:lang w:val="fr-FR"/>
              </w:rPr>
              <w:t xml:space="preserve">2. Tâches du propriétaire et représentation du regroupement </w:t>
            </w:r>
          </w:p>
          <w:p w14:paraId="2D27AD1F" w14:textId="77777777" w:rsidR="00D37ACF" w:rsidRPr="00D37ACF" w:rsidRDefault="00D37ACF" w:rsidP="00D37ACF">
            <w:pPr>
              <w:spacing w:before="120" w:after="120" w:line="240" w:lineRule="auto"/>
              <w:ind w:left="57"/>
              <w:jc w:val="both"/>
              <w:textAlignment w:val="baseline"/>
              <w:rPr>
                <w:rFonts w:eastAsia="Times New Roman" w:cs="Calibri"/>
                <w:sz w:val="16"/>
                <w:szCs w:val="16"/>
                <w:lang w:eastAsia="fr-CH"/>
              </w:rPr>
            </w:pPr>
            <w:r w:rsidRPr="00D37ACF">
              <w:rPr>
                <w:rFonts w:eastAsia="Times New Roman" w:cs="Calibri"/>
                <w:sz w:val="16"/>
                <w:szCs w:val="16"/>
                <w:lang w:eastAsia="fr-CH"/>
              </w:rPr>
              <w:t>Le bailleur finance, exploite, assure l’entretien courant et la maintenance de l’installation PV domestique. Il est le partenaire contractuel du gestionnaire de réseau de distribution (GRD) local, communique à ce dernier l’identité des locataires raccordés et lui signale tout changement de destination, et représente le regroupement vis-à-vis du gestionnaire de réseau. Il est tenu de veiller à un approvisionnement en électricité suffisant des locataires participants.</w:t>
            </w:r>
          </w:p>
          <w:p w14:paraId="66295733" w14:textId="77777777" w:rsidR="00D37ACF" w:rsidRPr="00D37ACF" w:rsidRDefault="00D37ACF" w:rsidP="00D37ACF">
            <w:pPr>
              <w:spacing w:before="120" w:after="120" w:line="240" w:lineRule="auto"/>
              <w:ind w:left="57"/>
              <w:jc w:val="both"/>
              <w:textAlignment w:val="baseline"/>
              <w:rPr>
                <w:rFonts w:eastAsia="Times New Roman" w:cs="Calibri"/>
                <w:sz w:val="16"/>
                <w:szCs w:val="16"/>
                <w:lang w:eastAsia="fr-CH"/>
              </w:rPr>
            </w:pPr>
            <w:r w:rsidRPr="00D37ACF">
              <w:rPr>
                <w:rFonts w:eastAsia="Times New Roman" w:cs="Calibri"/>
                <w:sz w:val="16"/>
                <w:szCs w:val="16"/>
                <w:lang w:eastAsia="fr-CH"/>
              </w:rPr>
              <w:t xml:space="preserve">Il calcule chaque année au titre des charges accessoires la consommation d’électricité pour les parties communes ainsi que la consommation d’électricité individuelle des locataires raccordés. </w:t>
            </w:r>
          </w:p>
          <w:p w14:paraId="5B0330AB" w14:textId="77777777" w:rsidR="00D37ACF" w:rsidRPr="00D37ACF" w:rsidRDefault="00D37ACF" w:rsidP="00D37ACF">
            <w:pPr>
              <w:spacing w:before="120" w:after="120" w:line="240" w:lineRule="auto"/>
              <w:ind w:left="57"/>
              <w:jc w:val="both"/>
              <w:textAlignment w:val="baseline"/>
              <w:rPr>
                <w:rFonts w:eastAsia="Times New Roman" w:cs="Calibri"/>
                <w:sz w:val="16"/>
                <w:szCs w:val="16"/>
                <w:lang w:eastAsia="fr-CH"/>
              </w:rPr>
            </w:pPr>
            <w:r w:rsidRPr="00D37ACF">
              <w:rPr>
                <w:rFonts w:eastAsia="Times New Roman" w:cs="Calibri"/>
                <w:sz w:val="16"/>
                <w:szCs w:val="16"/>
                <w:lang w:eastAsia="fr-CH"/>
              </w:rPr>
              <w:t xml:space="preserve">Le bailleur peut déléguer ces tâches à des auxiliaires et autoriser un auxiliaire à représenter le regroupement auprès du gestionnaire de réseau. </w:t>
            </w:r>
          </w:p>
          <w:p w14:paraId="246EF49A" w14:textId="77777777" w:rsidR="00D37ACF" w:rsidRPr="00D37ACF" w:rsidRDefault="00D37ACF" w:rsidP="00D37ACF">
            <w:pPr>
              <w:spacing w:before="240" w:after="120" w:line="240" w:lineRule="auto"/>
              <w:ind w:left="57"/>
              <w:jc w:val="both"/>
              <w:textAlignment w:val="baseline"/>
              <w:rPr>
                <w:rFonts w:ascii="Arial" w:hAnsi="Arial" w:cs="Arial"/>
                <w:b/>
                <w:bCs/>
                <w:color w:val="000000"/>
                <w:sz w:val="16"/>
                <w:szCs w:val="16"/>
                <w:lang w:val="fr-FR"/>
              </w:rPr>
            </w:pPr>
            <w:r w:rsidRPr="00D37ACF">
              <w:rPr>
                <w:rFonts w:ascii="Arial" w:hAnsi="Arial" w:cs="Arial"/>
                <w:b/>
                <w:bCs/>
                <w:color w:val="000000"/>
                <w:sz w:val="16"/>
                <w:szCs w:val="16"/>
                <w:lang w:val="fr-FR"/>
              </w:rPr>
              <w:t xml:space="preserve">3. Mesure et répartition des coûts de l’électricité, protection des données </w:t>
            </w:r>
          </w:p>
          <w:p w14:paraId="4FAA81AD" w14:textId="77777777" w:rsidR="00D37ACF" w:rsidRPr="00D37ACF" w:rsidRDefault="00D37ACF" w:rsidP="00D37ACF">
            <w:pPr>
              <w:spacing w:before="120" w:after="120" w:line="240" w:lineRule="auto"/>
              <w:ind w:left="57"/>
              <w:jc w:val="both"/>
              <w:textAlignment w:val="baseline"/>
              <w:rPr>
                <w:rFonts w:eastAsia="Times New Roman" w:cs="Calibri"/>
                <w:sz w:val="16"/>
                <w:szCs w:val="16"/>
                <w:lang w:eastAsia="fr-CH"/>
              </w:rPr>
            </w:pPr>
            <w:r w:rsidRPr="00D37ACF">
              <w:rPr>
                <w:rFonts w:eastAsia="Times New Roman" w:cs="Calibri"/>
                <w:sz w:val="16"/>
                <w:szCs w:val="16"/>
                <w:lang w:eastAsia="fr-CH"/>
              </w:rPr>
              <w:t xml:space="preserve">La consommation d’électricité individuelle des différentes parties prenantes est mesurée au moyen de compteurs intelligents et indiquée en fonction des pourcentages de l’électricité photovoltaïque et de l’électricité achetée auprès du réseau, y compris le détail de l’électricité du réseau en fonction des heures pleines et des heures creuses. La consommation d’électricité du regroupement est répartie entre les différentes parties prenantes conformément au relevé, en sus de la répartition en bonne et due forme de l’électricité des parties communes. </w:t>
            </w:r>
          </w:p>
          <w:p w14:paraId="5B3D997F" w14:textId="77777777" w:rsidR="00D37ACF" w:rsidRPr="00D37ACF" w:rsidRDefault="00D37ACF" w:rsidP="00D37ACF">
            <w:pPr>
              <w:spacing w:before="120" w:after="120" w:line="240" w:lineRule="auto"/>
              <w:ind w:left="57"/>
              <w:jc w:val="both"/>
              <w:textAlignment w:val="baseline"/>
              <w:rPr>
                <w:rFonts w:eastAsia="Times New Roman" w:cs="Calibri"/>
                <w:sz w:val="16"/>
                <w:szCs w:val="16"/>
                <w:lang w:eastAsia="fr-CH"/>
              </w:rPr>
            </w:pPr>
            <w:r w:rsidRPr="00D37ACF">
              <w:rPr>
                <w:rFonts w:eastAsia="Times New Roman" w:cs="Calibri"/>
                <w:sz w:val="16"/>
                <w:szCs w:val="16"/>
                <w:lang w:eastAsia="fr-CH"/>
              </w:rPr>
              <w:t xml:space="preserve">Si les données de mesure sont nécessaires au suivi de la répartition des coûts, celles-ci sont alors communiquées à toutes les parties concernées. Chaque locataire peut visualiser les données détaillées via les mesures de sa propre consommation. Pour le reste, les dispositions de la loi sur la protection des données s’appliquent. En particulier, le bailleur peut divulguer à des tiers les données personnelles obtenues grâce aux mesures uniquement si cela est nécessaire au bon déroulement de l’utilisation du réseau d’un point de vue technique et commercial. </w:t>
            </w:r>
          </w:p>
          <w:p w14:paraId="75FAC0EE" w14:textId="76293021" w:rsidR="00D37ACF" w:rsidRPr="00D37ACF" w:rsidRDefault="00D37ACF" w:rsidP="00D37ACF">
            <w:pPr>
              <w:spacing w:before="240" w:after="120" w:line="240" w:lineRule="auto"/>
              <w:ind w:left="57"/>
              <w:jc w:val="both"/>
              <w:textAlignment w:val="baseline"/>
              <w:rPr>
                <w:rFonts w:ascii="Arial" w:hAnsi="Arial" w:cs="Arial"/>
                <w:color w:val="000000"/>
                <w:sz w:val="16"/>
                <w:szCs w:val="16"/>
                <w:lang w:val="fr-FR"/>
              </w:rPr>
            </w:pPr>
            <w:r w:rsidRPr="00D37ACF">
              <w:rPr>
                <w:rFonts w:ascii="Arial" w:hAnsi="Arial" w:cs="Arial"/>
                <w:b/>
                <w:bCs/>
                <w:color w:val="000000"/>
                <w:sz w:val="16"/>
                <w:szCs w:val="16"/>
                <w:lang w:val="fr-FR"/>
              </w:rPr>
              <w:t>4. Choix et changement du produit d’électricité</w:t>
            </w:r>
          </w:p>
          <w:p w14:paraId="2FC85276" w14:textId="77777777" w:rsidR="00D37ACF" w:rsidRPr="00D37ACF" w:rsidRDefault="00D37ACF" w:rsidP="00D37ACF">
            <w:pPr>
              <w:spacing w:before="120" w:after="120" w:line="240" w:lineRule="auto"/>
              <w:ind w:left="57"/>
              <w:jc w:val="both"/>
              <w:textAlignment w:val="baseline"/>
              <w:rPr>
                <w:rFonts w:eastAsia="Times New Roman" w:cs="Calibri"/>
                <w:sz w:val="16"/>
                <w:szCs w:val="16"/>
                <w:lang w:eastAsia="fr-CH"/>
              </w:rPr>
            </w:pPr>
            <w:r w:rsidRPr="00D37ACF">
              <w:rPr>
                <w:rFonts w:eastAsia="Times New Roman" w:cs="Calibri"/>
                <w:sz w:val="16"/>
                <w:szCs w:val="16"/>
                <w:lang w:eastAsia="fr-CH"/>
              </w:rPr>
              <w:t xml:space="preserve">Si l’installation domestique ne couvre pas la consommation d’électricité, l’électricité est achetée auprès du gestionnaire du réseau local. Le bailleur opte pour un produit électrique dans la gamme de prix moyenne. </w:t>
            </w:r>
          </w:p>
          <w:p w14:paraId="33105734" w14:textId="2528583A" w:rsidR="00D37ACF" w:rsidRPr="00D37ACF" w:rsidRDefault="00D37ACF" w:rsidP="00D37ACF">
            <w:pPr>
              <w:spacing w:before="120" w:after="120" w:line="240" w:lineRule="auto"/>
              <w:ind w:left="57"/>
              <w:jc w:val="both"/>
              <w:textAlignment w:val="baseline"/>
              <w:rPr>
                <w:rFonts w:eastAsia="Times New Roman" w:cs="Calibri"/>
                <w:sz w:val="16"/>
                <w:szCs w:val="16"/>
                <w:lang w:eastAsia="fr-CH"/>
              </w:rPr>
            </w:pPr>
            <w:r w:rsidRPr="00D37ACF">
              <w:rPr>
                <w:rFonts w:eastAsia="Times New Roman" w:cs="Calibri"/>
                <w:sz w:val="16"/>
                <w:szCs w:val="16"/>
                <w:lang w:eastAsia="fr-CH"/>
              </w:rPr>
              <w:t xml:space="preserve">Le passage à un produit électrique plus onéreux requiert l’approbation de la majorité pondérée des participants au regroupement. Le droit de vote des différentes parties contractantes est calculé sur la base de leurs parts respectives de consommation d’électricité sur la base du dernier décompte des charges. La majorité requise doit représenter plus de 50% de la consommation totale d’électricité. </w:t>
            </w:r>
          </w:p>
          <w:p w14:paraId="14EE33AB" w14:textId="77777777" w:rsidR="00D37ACF" w:rsidRDefault="00D37ACF" w:rsidP="00D37ACF">
            <w:pPr>
              <w:spacing w:before="120" w:after="120" w:line="240" w:lineRule="auto"/>
              <w:ind w:left="57"/>
              <w:jc w:val="both"/>
              <w:textAlignment w:val="baseline"/>
              <w:rPr>
                <w:rFonts w:eastAsia="Times New Roman" w:cs="Calibri"/>
                <w:sz w:val="16"/>
                <w:szCs w:val="16"/>
                <w:lang w:eastAsia="fr-CH"/>
              </w:rPr>
            </w:pPr>
            <w:r w:rsidRPr="00D37ACF">
              <w:rPr>
                <w:rFonts w:eastAsia="Times New Roman" w:cs="Calibri"/>
                <w:sz w:val="16"/>
                <w:szCs w:val="16"/>
                <w:lang w:eastAsia="fr-CH"/>
              </w:rPr>
              <w:t xml:space="preserve">Les locataires doivent être avisés du passage à un produit électrique plus coûteux à l’aide d’un formulaire officiel. </w:t>
            </w:r>
          </w:p>
          <w:p w14:paraId="7460C7E0" w14:textId="77777777" w:rsidR="00D37ACF" w:rsidRDefault="00D37ACF" w:rsidP="00D37ACF">
            <w:pPr>
              <w:spacing w:before="120" w:after="120" w:line="240" w:lineRule="auto"/>
              <w:ind w:left="57"/>
              <w:jc w:val="both"/>
              <w:textAlignment w:val="baseline"/>
              <w:rPr>
                <w:rFonts w:eastAsia="Times New Roman" w:cs="Calibri"/>
                <w:sz w:val="16"/>
                <w:szCs w:val="16"/>
                <w:lang w:eastAsia="fr-CH"/>
              </w:rPr>
            </w:pPr>
          </w:p>
          <w:p w14:paraId="40078EA1" w14:textId="77777777" w:rsidR="00FC0474" w:rsidRPr="00D37ACF" w:rsidRDefault="00FC0474" w:rsidP="00D37ACF">
            <w:pPr>
              <w:spacing w:before="120" w:after="120" w:line="240" w:lineRule="auto"/>
              <w:ind w:left="57"/>
              <w:jc w:val="both"/>
              <w:textAlignment w:val="baseline"/>
              <w:rPr>
                <w:rFonts w:eastAsia="Times New Roman" w:cs="Calibri"/>
                <w:sz w:val="16"/>
                <w:szCs w:val="16"/>
                <w:lang w:eastAsia="fr-CH"/>
              </w:rPr>
            </w:pPr>
          </w:p>
          <w:p w14:paraId="2E72305B" w14:textId="77777777" w:rsidR="00D37ACF" w:rsidRPr="00D37ACF" w:rsidRDefault="00D37ACF" w:rsidP="00D37ACF">
            <w:pPr>
              <w:spacing w:before="240" w:after="120" w:line="240" w:lineRule="auto"/>
              <w:ind w:left="57"/>
              <w:jc w:val="both"/>
              <w:textAlignment w:val="baseline"/>
              <w:rPr>
                <w:rFonts w:cs="Arial"/>
                <w:sz w:val="16"/>
                <w:szCs w:val="16"/>
                <w:lang w:val="fr-FR"/>
              </w:rPr>
            </w:pPr>
            <w:r w:rsidRPr="00D37ACF">
              <w:rPr>
                <w:rFonts w:cs="Arial"/>
                <w:b/>
                <w:bCs/>
                <w:sz w:val="16"/>
                <w:szCs w:val="16"/>
                <w:lang w:val="fr-FR"/>
              </w:rPr>
              <w:lastRenderedPageBreak/>
              <w:t xml:space="preserve">5. Administration et décompte </w:t>
            </w:r>
          </w:p>
          <w:p w14:paraId="6DB5EB66" w14:textId="77777777" w:rsidR="00D37ACF" w:rsidRPr="00D37ACF" w:rsidRDefault="00D37ACF" w:rsidP="00D37ACF">
            <w:pPr>
              <w:spacing w:before="120" w:after="120" w:line="240" w:lineRule="auto"/>
              <w:ind w:left="57"/>
              <w:jc w:val="both"/>
              <w:textAlignment w:val="baseline"/>
              <w:rPr>
                <w:rFonts w:eastAsia="Times New Roman" w:cs="Calibri"/>
                <w:sz w:val="16"/>
                <w:szCs w:val="16"/>
                <w:lang w:eastAsia="fr-CH"/>
              </w:rPr>
            </w:pPr>
            <w:r w:rsidRPr="00D37ACF">
              <w:rPr>
                <w:rFonts w:eastAsia="Times New Roman" w:cs="Calibri"/>
                <w:sz w:val="16"/>
                <w:szCs w:val="16"/>
                <w:lang w:eastAsia="fr-CH"/>
              </w:rPr>
              <w:t xml:space="preserve">Les frais d’électricité font partie intégrante des charges accessoires. Ils sont facturés par le bailleur sur une base annuelle. Les coûts effectifs de l’électricité achetée au gestionnaire de réseau, déduction faite des recettes provenant de l’énergie injectée dans le réseau et des coûts du courant photovoltaïque autoproduit, sont facturés. </w:t>
            </w:r>
          </w:p>
          <w:p w14:paraId="771487CF" w14:textId="77777777" w:rsidR="00D37ACF" w:rsidRDefault="00D37ACF" w:rsidP="00D37ACF">
            <w:pPr>
              <w:spacing w:before="120" w:after="120" w:line="240" w:lineRule="auto"/>
              <w:ind w:left="57"/>
              <w:jc w:val="both"/>
              <w:textAlignment w:val="baseline"/>
              <w:rPr>
                <w:rFonts w:eastAsia="Times New Roman" w:cs="Calibri"/>
                <w:sz w:val="16"/>
                <w:szCs w:val="16"/>
                <w:lang w:eastAsia="fr-CH"/>
              </w:rPr>
            </w:pPr>
            <w:r w:rsidRPr="00D37ACF">
              <w:rPr>
                <w:rFonts w:eastAsia="Times New Roman" w:cs="Calibri"/>
                <w:sz w:val="16"/>
                <w:szCs w:val="16"/>
                <w:lang w:eastAsia="fr-CH"/>
              </w:rPr>
              <w:t xml:space="preserve">Le tarif de l’électricité photovoltaïque peut couvrir les coûts suivants (art. 16 de l’ordonnance sur l’énergie [OEne]) : </w:t>
            </w:r>
          </w:p>
          <w:p w14:paraId="4176EC08" w14:textId="6BA94C54" w:rsidR="00FC0474" w:rsidRPr="00D37ACF" w:rsidRDefault="00FC0474" w:rsidP="00D37ACF">
            <w:pPr>
              <w:spacing w:before="120" w:after="120" w:line="240" w:lineRule="auto"/>
              <w:ind w:left="57"/>
              <w:jc w:val="both"/>
              <w:textAlignment w:val="baseline"/>
              <w:rPr>
                <w:rFonts w:eastAsia="Times New Roman" w:cs="Calibri"/>
                <w:sz w:val="16"/>
                <w:szCs w:val="16"/>
                <w:lang w:eastAsia="fr-CH"/>
              </w:rPr>
            </w:pPr>
            <w:r w:rsidRPr="00FC0474">
              <w:rPr>
                <w:rFonts w:eastAsia="Times New Roman" w:cs="Calibri"/>
                <w:sz w:val="16"/>
                <w:szCs w:val="16"/>
                <w:highlight w:val="lightGray"/>
                <w:lang w:eastAsia="fr-CH"/>
              </w:rPr>
              <w:t>Variante « coûts effectifs »</w:t>
            </w:r>
          </w:p>
          <w:p w14:paraId="69AB15CB" w14:textId="77777777" w:rsidR="00D37ACF" w:rsidRPr="00D37ACF" w:rsidRDefault="00D37ACF" w:rsidP="00D37ACF">
            <w:pPr>
              <w:spacing w:before="120" w:after="120" w:line="240" w:lineRule="auto"/>
              <w:ind w:left="57"/>
              <w:jc w:val="both"/>
              <w:textAlignment w:val="baseline"/>
              <w:rPr>
                <w:rFonts w:eastAsia="Times New Roman" w:cs="Calibri"/>
                <w:sz w:val="16"/>
                <w:szCs w:val="16"/>
                <w:lang w:eastAsia="fr-CH"/>
              </w:rPr>
            </w:pPr>
            <w:r w:rsidRPr="00D37ACF">
              <w:rPr>
                <w:rFonts w:eastAsia="Times New Roman" w:cs="Calibri"/>
                <w:sz w:val="16"/>
                <w:szCs w:val="16"/>
                <w:lang w:eastAsia="fr-CH"/>
              </w:rPr>
              <w:t xml:space="preserve">a) Les intérêts et l’amortissement des coûts en capital de l’installation, déduction faite de la subvention </w:t>
            </w:r>
          </w:p>
          <w:p w14:paraId="637007DA" w14:textId="77777777" w:rsidR="00D37ACF" w:rsidRPr="00D37ACF" w:rsidRDefault="00D37ACF" w:rsidP="00D37ACF">
            <w:pPr>
              <w:spacing w:before="120" w:after="120" w:line="240" w:lineRule="auto"/>
              <w:ind w:left="57"/>
              <w:jc w:val="both"/>
              <w:textAlignment w:val="baseline"/>
              <w:rPr>
                <w:rFonts w:eastAsia="Times New Roman" w:cs="Calibri"/>
                <w:sz w:val="16"/>
                <w:szCs w:val="16"/>
                <w:lang w:eastAsia="fr-CH"/>
              </w:rPr>
            </w:pPr>
            <w:r w:rsidRPr="00D37ACF">
              <w:rPr>
                <w:rFonts w:eastAsia="Times New Roman" w:cs="Calibri"/>
                <w:sz w:val="16"/>
                <w:szCs w:val="16"/>
                <w:lang w:eastAsia="fr-CH"/>
              </w:rPr>
              <w:t xml:space="preserve">b) Les coûts d’exploitation et d’entretien de l’installation </w:t>
            </w:r>
          </w:p>
          <w:p w14:paraId="5BEA20BE" w14:textId="26ED191C" w:rsidR="00D37ACF" w:rsidRDefault="00D37ACF" w:rsidP="00D37ACF">
            <w:pPr>
              <w:spacing w:before="120" w:after="120" w:line="240" w:lineRule="auto"/>
              <w:ind w:left="57"/>
              <w:jc w:val="both"/>
              <w:textAlignment w:val="baseline"/>
              <w:rPr>
                <w:rFonts w:eastAsia="Times New Roman" w:cs="Calibri"/>
                <w:sz w:val="16"/>
                <w:szCs w:val="16"/>
                <w:lang w:eastAsia="fr-CH"/>
              </w:rPr>
            </w:pPr>
            <w:r w:rsidRPr="00D37ACF">
              <w:rPr>
                <w:rFonts w:eastAsia="Times New Roman" w:cs="Calibri"/>
                <w:sz w:val="16"/>
                <w:szCs w:val="16"/>
                <w:lang w:eastAsia="fr-CH"/>
              </w:rPr>
              <w:t>c) Les coûts pour la mesure interne, la mise à disposition des données, l’administration et le décompte</w:t>
            </w:r>
          </w:p>
          <w:p w14:paraId="6425B290" w14:textId="77777777" w:rsidR="00FC0474" w:rsidRPr="00FC0474" w:rsidRDefault="00FC0474" w:rsidP="00FC0474">
            <w:pPr>
              <w:spacing w:before="120" w:after="120" w:line="240" w:lineRule="auto"/>
              <w:ind w:left="57"/>
              <w:jc w:val="both"/>
              <w:textAlignment w:val="baseline"/>
              <w:rPr>
                <w:rFonts w:eastAsia="Times New Roman" w:cs="Calibri"/>
                <w:sz w:val="16"/>
                <w:szCs w:val="16"/>
                <w:lang w:eastAsia="fr-CH"/>
              </w:rPr>
            </w:pPr>
            <w:r w:rsidRPr="00FC0474">
              <w:rPr>
                <w:rFonts w:eastAsia="Times New Roman" w:cs="Calibri"/>
                <w:sz w:val="16"/>
                <w:szCs w:val="16"/>
                <w:lang w:eastAsia="fr-CH"/>
              </w:rPr>
              <w:t>Les recettes provenant de l’énergie injectée dans le réseau doivent être déduites de ces coûts.</w:t>
            </w:r>
          </w:p>
          <w:p w14:paraId="5A49BB0A" w14:textId="2F4C2243" w:rsidR="00FC0474" w:rsidRPr="00FC0474" w:rsidRDefault="00FC0474" w:rsidP="00FC0474">
            <w:pPr>
              <w:spacing w:before="120" w:after="120" w:line="240" w:lineRule="auto"/>
              <w:ind w:left="57"/>
              <w:jc w:val="both"/>
              <w:textAlignment w:val="baseline"/>
              <w:rPr>
                <w:rFonts w:eastAsia="Times New Roman" w:cs="Calibri"/>
                <w:sz w:val="16"/>
                <w:szCs w:val="16"/>
                <w:lang w:eastAsia="fr-CH"/>
              </w:rPr>
            </w:pPr>
            <w:r w:rsidRPr="00FC0474">
              <w:rPr>
                <w:rFonts w:eastAsia="Times New Roman" w:cs="Calibri"/>
                <w:sz w:val="16"/>
                <w:szCs w:val="16"/>
                <w:lang w:eastAsia="fr-CH"/>
              </w:rPr>
              <w:t>Jusqu’au versement de la subvention, le bailleur peut assortir d’un intérêt le financement anticipé à cette fin</w:t>
            </w:r>
            <w:r>
              <w:rPr>
                <w:rFonts w:eastAsia="Times New Roman" w:cs="Calibri"/>
                <w:sz w:val="16"/>
                <w:szCs w:val="16"/>
                <w:lang w:eastAsia="fr-CH"/>
              </w:rPr>
              <w:t xml:space="preserve"> </w:t>
            </w:r>
            <w:r w:rsidRPr="00FC0474">
              <w:rPr>
                <w:rFonts w:eastAsia="Times New Roman" w:cs="Calibri"/>
                <w:sz w:val="16"/>
                <w:szCs w:val="16"/>
                <w:lang w:eastAsia="fr-CH"/>
              </w:rPr>
              <w:t>sous forme de capitaux propres.</w:t>
            </w:r>
          </w:p>
          <w:p w14:paraId="37CA229C" w14:textId="5B94C895" w:rsidR="00FC0474" w:rsidRPr="00D37ACF" w:rsidRDefault="00FC0474" w:rsidP="00FC0474">
            <w:pPr>
              <w:spacing w:before="120" w:after="120" w:line="240" w:lineRule="auto"/>
              <w:ind w:left="57"/>
              <w:jc w:val="both"/>
              <w:textAlignment w:val="baseline"/>
              <w:rPr>
                <w:rFonts w:eastAsia="Times New Roman" w:cs="Calibri"/>
                <w:sz w:val="16"/>
                <w:szCs w:val="16"/>
                <w:lang w:eastAsia="fr-CH"/>
              </w:rPr>
            </w:pPr>
            <w:r w:rsidRPr="00FC0474">
              <w:rPr>
                <w:rFonts w:eastAsia="Times New Roman" w:cs="Calibri"/>
                <w:sz w:val="16"/>
                <w:szCs w:val="16"/>
                <w:lang w:eastAsia="fr-CH"/>
              </w:rPr>
              <w:t>Pour l’électricité produite et consommée en interne, le montant maximal facturé par kilowattheure ne doit</w:t>
            </w:r>
            <w:r>
              <w:rPr>
                <w:rFonts w:eastAsia="Times New Roman" w:cs="Calibri"/>
                <w:sz w:val="16"/>
                <w:szCs w:val="16"/>
                <w:lang w:eastAsia="fr-CH"/>
              </w:rPr>
              <w:t xml:space="preserve"> </w:t>
            </w:r>
            <w:r w:rsidRPr="00FC0474">
              <w:rPr>
                <w:rFonts w:eastAsia="Times New Roman" w:cs="Calibri"/>
                <w:sz w:val="16"/>
                <w:szCs w:val="16"/>
                <w:lang w:eastAsia="fr-CH"/>
              </w:rPr>
              <w:t>pas dépasser celui que chaque participant au RCP devrait payer au gestionnaire de réseau de distribution</w:t>
            </w:r>
            <w:r>
              <w:rPr>
                <w:rFonts w:eastAsia="Times New Roman" w:cs="Calibri"/>
                <w:sz w:val="16"/>
                <w:szCs w:val="16"/>
                <w:lang w:eastAsia="fr-CH"/>
              </w:rPr>
              <w:t xml:space="preserve"> </w:t>
            </w:r>
            <w:r w:rsidRPr="00FC0474">
              <w:rPr>
                <w:rFonts w:eastAsia="Times New Roman" w:cs="Calibri"/>
                <w:sz w:val="16"/>
                <w:szCs w:val="16"/>
                <w:lang w:eastAsia="fr-CH"/>
              </w:rPr>
              <w:t>dans le cadre de l’approvisionnement de base en cas d’achat du produit électrique standard.</w:t>
            </w:r>
          </w:p>
          <w:p w14:paraId="2673E487" w14:textId="30DF33C4" w:rsidR="00FC0474" w:rsidRPr="00FC0474" w:rsidRDefault="00FC0474" w:rsidP="00D37ACF">
            <w:pPr>
              <w:spacing w:before="120" w:after="120" w:line="240" w:lineRule="auto"/>
              <w:ind w:left="57"/>
              <w:jc w:val="both"/>
              <w:textAlignment w:val="baseline"/>
              <w:rPr>
                <w:rFonts w:eastAsia="Times New Roman" w:cs="Calibri"/>
                <w:sz w:val="16"/>
                <w:szCs w:val="16"/>
                <w:highlight w:val="lightGray"/>
                <w:lang w:eastAsia="fr-CH"/>
              </w:rPr>
            </w:pPr>
            <w:r w:rsidRPr="00FC0474">
              <w:rPr>
                <w:rFonts w:eastAsia="Times New Roman" w:cs="Calibri"/>
                <w:sz w:val="16"/>
                <w:szCs w:val="16"/>
                <w:highlight w:val="lightGray"/>
                <w:lang w:eastAsia="fr-CH"/>
              </w:rPr>
              <w:t>Variante du forfait de 80%</w:t>
            </w:r>
          </w:p>
          <w:p w14:paraId="38411D05" w14:textId="7F29CF5E" w:rsidR="00FC0474" w:rsidRDefault="00FC0474" w:rsidP="00FC0474">
            <w:pPr>
              <w:spacing w:before="120" w:after="120" w:line="240" w:lineRule="auto"/>
              <w:ind w:left="57"/>
              <w:jc w:val="both"/>
              <w:textAlignment w:val="baseline"/>
              <w:rPr>
                <w:rFonts w:eastAsia="Times New Roman" w:cs="Calibri"/>
                <w:sz w:val="16"/>
                <w:szCs w:val="16"/>
                <w:lang w:eastAsia="fr-CH"/>
              </w:rPr>
            </w:pPr>
            <w:r w:rsidRPr="00FC0474">
              <w:rPr>
                <w:rFonts w:eastAsia="Times New Roman" w:cs="Calibri"/>
                <w:sz w:val="16"/>
                <w:szCs w:val="16"/>
                <w:lang w:eastAsia="fr-CH"/>
              </w:rPr>
              <w:t>Pour l’électricité produite et consommée en interne, 80% au maximum du montant que chaque participant</w:t>
            </w:r>
            <w:r>
              <w:rPr>
                <w:rFonts w:eastAsia="Times New Roman" w:cs="Calibri"/>
                <w:sz w:val="16"/>
                <w:szCs w:val="16"/>
                <w:lang w:eastAsia="fr-CH"/>
              </w:rPr>
              <w:t xml:space="preserve"> </w:t>
            </w:r>
            <w:r w:rsidRPr="00FC0474">
              <w:rPr>
                <w:rFonts w:eastAsia="Times New Roman" w:cs="Calibri"/>
                <w:sz w:val="16"/>
                <w:szCs w:val="16"/>
                <w:lang w:eastAsia="fr-CH"/>
              </w:rPr>
              <w:t>au RCP devrait payer au gestionnaire de réseau de distribution dans le cadre de l’approvisionnement de</w:t>
            </w:r>
            <w:r>
              <w:rPr>
                <w:rFonts w:eastAsia="Times New Roman" w:cs="Calibri"/>
                <w:sz w:val="16"/>
                <w:szCs w:val="16"/>
                <w:lang w:eastAsia="fr-CH"/>
              </w:rPr>
              <w:t xml:space="preserve"> </w:t>
            </w:r>
            <w:r w:rsidRPr="00FC0474">
              <w:rPr>
                <w:rFonts w:eastAsia="Times New Roman" w:cs="Calibri"/>
                <w:sz w:val="16"/>
                <w:szCs w:val="16"/>
                <w:lang w:eastAsia="fr-CH"/>
              </w:rPr>
              <w:t>base en cas d’achat du produit électrique standard peuvent être facturés par kilowattheure.</w:t>
            </w:r>
          </w:p>
          <w:p w14:paraId="012B70FF" w14:textId="77777777" w:rsidR="00D37ACF" w:rsidRPr="00D37ACF" w:rsidRDefault="00D37ACF" w:rsidP="00D37ACF">
            <w:pPr>
              <w:spacing w:before="240" w:after="120" w:line="240" w:lineRule="auto"/>
              <w:ind w:left="57"/>
              <w:jc w:val="both"/>
              <w:textAlignment w:val="baseline"/>
              <w:rPr>
                <w:rFonts w:cs="Arial"/>
                <w:sz w:val="16"/>
                <w:szCs w:val="16"/>
                <w:lang w:val="fr-FR"/>
              </w:rPr>
            </w:pPr>
            <w:r w:rsidRPr="00D37ACF">
              <w:rPr>
                <w:rFonts w:cs="Arial"/>
                <w:b/>
                <w:bCs/>
                <w:sz w:val="16"/>
                <w:szCs w:val="16"/>
                <w:lang w:val="fr-FR"/>
              </w:rPr>
              <w:t xml:space="preserve">6. Cessation de la </w:t>
            </w:r>
            <w:r w:rsidRPr="00D37ACF">
              <w:rPr>
                <w:rFonts w:eastAsia="Times New Roman" w:cs="Calibri"/>
                <w:b/>
                <w:bCs/>
                <w:sz w:val="16"/>
                <w:szCs w:val="16"/>
                <w:lang w:eastAsia="fr-CH"/>
              </w:rPr>
              <w:t>participation</w:t>
            </w:r>
            <w:r w:rsidRPr="00D37ACF">
              <w:rPr>
                <w:rFonts w:cs="Arial"/>
                <w:b/>
                <w:bCs/>
                <w:sz w:val="16"/>
                <w:szCs w:val="16"/>
                <w:lang w:val="fr-FR"/>
              </w:rPr>
              <w:t xml:space="preserve"> au regroupement </w:t>
            </w:r>
          </w:p>
          <w:p w14:paraId="7A9AA054" w14:textId="77777777" w:rsidR="00D37ACF" w:rsidRPr="00D37ACF" w:rsidRDefault="00D37ACF" w:rsidP="00D37ACF">
            <w:pPr>
              <w:spacing w:before="120" w:after="120" w:line="240" w:lineRule="auto"/>
              <w:ind w:left="57"/>
              <w:jc w:val="both"/>
              <w:textAlignment w:val="baseline"/>
              <w:rPr>
                <w:rFonts w:eastAsia="Times New Roman" w:cs="Calibri"/>
                <w:sz w:val="16"/>
                <w:szCs w:val="16"/>
                <w:lang w:eastAsia="fr-CH"/>
              </w:rPr>
            </w:pPr>
            <w:r w:rsidRPr="00D37ACF">
              <w:rPr>
                <w:rFonts w:eastAsia="Times New Roman" w:cs="Calibri"/>
                <w:sz w:val="16"/>
                <w:szCs w:val="16"/>
                <w:lang w:eastAsia="fr-CH"/>
              </w:rPr>
              <w:t xml:space="preserve">Avec la cessation du contrat de bail, les locataires ne sont plus parties prenantes du regroupement. Au titre du contrat de bail en cours, ils ne peuvent mettre fin à leur participation que : </w:t>
            </w:r>
          </w:p>
          <w:p w14:paraId="1905BCFA" w14:textId="77777777" w:rsidR="00D37ACF" w:rsidRPr="00D37ACF" w:rsidRDefault="00D37ACF" w:rsidP="00D37ACF">
            <w:pPr>
              <w:spacing w:before="120" w:after="120" w:line="240" w:lineRule="auto"/>
              <w:ind w:left="57"/>
              <w:jc w:val="both"/>
              <w:textAlignment w:val="baseline"/>
              <w:rPr>
                <w:rFonts w:eastAsia="Times New Roman" w:cs="Calibri"/>
                <w:sz w:val="16"/>
                <w:szCs w:val="16"/>
                <w:lang w:eastAsia="fr-CH"/>
              </w:rPr>
            </w:pPr>
            <w:r w:rsidRPr="00D37ACF">
              <w:rPr>
                <w:rFonts w:eastAsia="Times New Roman" w:cs="Calibri"/>
                <w:sz w:val="16"/>
                <w:szCs w:val="16"/>
                <w:lang w:eastAsia="fr-CH"/>
              </w:rPr>
              <w:t xml:space="preserve">a) S’ils ont accès au marché libre de l’électricité en tant que gros consommateurs (art. 17, al. 3 LEne et art. 16, al. 5 OEne) et en font usage </w:t>
            </w:r>
          </w:p>
          <w:p w14:paraId="0C2F70C1" w14:textId="77777777" w:rsidR="00D37ACF" w:rsidRPr="00D37ACF" w:rsidRDefault="00D37ACF" w:rsidP="00D37ACF">
            <w:pPr>
              <w:spacing w:before="120" w:after="120" w:line="240" w:lineRule="auto"/>
              <w:ind w:left="57"/>
              <w:jc w:val="both"/>
              <w:textAlignment w:val="baseline"/>
              <w:rPr>
                <w:rFonts w:eastAsia="Times New Roman" w:cs="Calibri"/>
                <w:sz w:val="16"/>
                <w:szCs w:val="16"/>
                <w:lang w:eastAsia="fr-CH"/>
              </w:rPr>
            </w:pPr>
            <w:r w:rsidRPr="00D37ACF">
              <w:rPr>
                <w:rFonts w:eastAsia="Times New Roman" w:cs="Calibri"/>
                <w:sz w:val="16"/>
                <w:szCs w:val="16"/>
                <w:lang w:eastAsia="fr-CH"/>
              </w:rPr>
              <w:t xml:space="preserve">b) Si le bailleur contrevient à son obligation de fournir un approvisionnement électrique adéquat ou aux instructions relatives à la répercussion des coûts de l’électricité (art. 16, al. 5 OEne). </w:t>
            </w:r>
          </w:p>
          <w:p w14:paraId="13055CDB" w14:textId="77777777" w:rsidR="00D37ACF" w:rsidRPr="00D37ACF" w:rsidRDefault="00D37ACF" w:rsidP="00D37ACF">
            <w:pPr>
              <w:spacing w:before="120" w:after="120" w:line="240" w:lineRule="auto"/>
              <w:ind w:left="57"/>
              <w:jc w:val="both"/>
              <w:textAlignment w:val="baseline"/>
              <w:rPr>
                <w:rFonts w:eastAsia="Times New Roman" w:cs="Calibri"/>
                <w:sz w:val="16"/>
                <w:szCs w:val="16"/>
                <w:lang w:eastAsia="fr-CH"/>
              </w:rPr>
            </w:pPr>
            <w:r w:rsidRPr="00D37ACF">
              <w:rPr>
                <w:rFonts w:eastAsia="Times New Roman" w:cs="Calibri"/>
                <w:sz w:val="16"/>
                <w:szCs w:val="16"/>
                <w:lang w:eastAsia="fr-CH"/>
              </w:rPr>
              <w:t xml:space="preserve">Dans le cas où un gros consommateur souhaite quitter le regroupement, il doit en informer le propriétaire par écrit au minimum trois mois à l’avance. Le bailleur fait alors le nécessaire pour que cela soit signalé auprès du gestionnaire du réseau local. Il installe, aux frais du locataire sortant, les équipements nécessaires pour mesurer la consommation individuelle d’électricité de ce dernier et ne facture sur le décompte des charges accessoires que la part d’électricité des parties communes correspondante. </w:t>
            </w:r>
          </w:p>
          <w:p w14:paraId="4FC7EEA3" w14:textId="77777777" w:rsidR="00D37ACF" w:rsidRPr="00D37ACF" w:rsidRDefault="00D37ACF" w:rsidP="00D37ACF">
            <w:pPr>
              <w:spacing w:before="120" w:after="120" w:line="240" w:lineRule="auto"/>
              <w:ind w:left="57"/>
              <w:jc w:val="both"/>
              <w:textAlignment w:val="baseline"/>
              <w:rPr>
                <w:rFonts w:eastAsia="Times New Roman" w:cs="Calibri"/>
                <w:sz w:val="16"/>
                <w:szCs w:val="16"/>
                <w:lang w:eastAsia="fr-CH"/>
              </w:rPr>
            </w:pPr>
            <w:r w:rsidRPr="00D37ACF">
              <w:rPr>
                <w:rFonts w:eastAsia="Times New Roman" w:cs="Calibri"/>
                <w:sz w:val="16"/>
                <w:szCs w:val="16"/>
                <w:lang w:eastAsia="fr-CH"/>
              </w:rPr>
              <w:t xml:space="preserve">Si le bailleur contrevient à son obligation de fournir un approvisionnement électrique adéquat ou s’il ne respecte pas les conditions de facturation (art. 16, al. 1 OEne), le locataire lésé peut faire valoir ses droits conformément aux règles de la loi sur les défauts, couvrir si nécessaire son approvisionnement via le gestionnaire de réseau et mettre fin à sa participation au regroupement. Il doit en informer le bailleur par écrit au minimum trois mois à l’avance. </w:t>
            </w:r>
          </w:p>
          <w:p w14:paraId="441ABC14" w14:textId="77777777" w:rsidR="00D37ACF" w:rsidRPr="00D37ACF" w:rsidRDefault="00D37ACF" w:rsidP="00D37ACF">
            <w:pPr>
              <w:spacing w:before="120" w:after="120" w:line="240" w:lineRule="auto"/>
              <w:ind w:left="57"/>
              <w:jc w:val="both"/>
              <w:textAlignment w:val="baseline"/>
              <w:rPr>
                <w:rFonts w:eastAsia="Times New Roman" w:cs="Calibri"/>
                <w:sz w:val="16"/>
                <w:szCs w:val="16"/>
                <w:lang w:eastAsia="fr-CH"/>
              </w:rPr>
            </w:pPr>
            <w:r w:rsidRPr="00D37ACF">
              <w:rPr>
                <w:rFonts w:eastAsia="Times New Roman" w:cs="Calibri"/>
                <w:sz w:val="16"/>
                <w:szCs w:val="16"/>
                <w:lang w:eastAsia="fr-CH"/>
              </w:rPr>
              <w:t xml:space="preserve">Si l’avenant au contrat avec affichage de la forme est adopté, aucune signature n’est requise. </w:t>
            </w:r>
          </w:p>
          <w:p w14:paraId="0D523675" w14:textId="357C7B41" w:rsidR="00FC0474" w:rsidRDefault="00FC0474" w:rsidP="00D37ACF">
            <w:pPr>
              <w:spacing w:before="120" w:after="120" w:line="240" w:lineRule="auto"/>
              <w:ind w:left="57"/>
              <w:jc w:val="both"/>
              <w:textAlignment w:val="baseline"/>
              <w:rPr>
                <w:rFonts w:cs="Arial"/>
                <w:sz w:val="16"/>
                <w:szCs w:val="16"/>
                <w:lang w:val="fr-FR"/>
              </w:rPr>
            </w:pPr>
            <w:r>
              <w:rPr>
                <w:rFonts w:cs="Arial"/>
                <w:sz w:val="16"/>
                <w:szCs w:val="16"/>
                <w:lang w:val="fr-FR"/>
              </w:rPr>
              <w:t>Lieu/date</w:t>
            </w:r>
          </w:p>
          <w:p w14:paraId="498FC190" w14:textId="77777777" w:rsidR="00FC0474" w:rsidRDefault="00FC0474" w:rsidP="00D37ACF">
            <w:pPr>
              <w:spacing w:before="120" w:after="120" w:line="240" w:lineRule="auto"/>
              <w:ind w:left="57"/>
              <w:jc w:val="both"/>
              <w:textAlignment w:val="baseline"/>
              <w:rPr>
                <w:rFonts w:cs="Arial"/>
                <w:sz w:val="16"/>
                <w:szCs w:val="16"/>
                <w:lang w:val="fr-FR"/>
              </w:rPr>
            </w:pPr>
          </w:p>
          <w:p w14:paraId="42666121" w14:textId="77777777" w:rsidR="00FC0474" w:rsidRDefault="00FC0474" w:rsidP="00D37ACF">
            <w:pPr>
              <w:spacing w:before="120" w:after="120" w:line="240" w:lineRule="auto"/>
              <w:ind w:left="57"/>
              <w:jc w:val="both"/>
              <w:textAlignment w:val="baseline"/>
              <w:rPr>
                <w:rFonts w:cs="Arial"/>
                <w:sz w:val="16"/>
                <w:szCs w:val="16"/>
                <w:lang w:val="fr-FR"/>
              </w:rPr>
            </w:pPr>
          </w:p>
          <w:p w14:paraId="742D5562" w14:textId="3FBEAA26" w:rsidR="00FC0474" w:rsidRDefault="00FC0474" w:rsidP="00D37ACF">
            <w:pPr>
              <w:spacing w:before="120" w:after="120" w:line="240" w:lineRule="auto"/>
              <w:ind w:left="57"/>
              <w:jc w:val="both"/>
              <w:textAlignment w:val="baseline"/>
              <w:rPr>
                <w:rFonts w:cs="Arial"/>
                <w:sz w:val="16"/>
                <w:szCs w:val="16"/>
                <w:lang w:val="fr-FR"/>
              </w:rPr>
            </w:pPr>
            <w:r>
              <w:rPr>
                <w:rFonts w:cs="Arial"/>
                <w:sz w:val="16"/>
                <w:szCs w:val="16"/>
                <w:lang w:val="fr-FR"/>
              </w:rPr>
              <w:t>(Pour le bailleur)                                                               (Locataire)</w:t>
            </w:r>
          </w:p>
          <w:tbl>
            <w:tblPr>
              <w:tblW w:w="0" w:type="auto"/>
              <w:tblBorders>
                <w:top w:val="nil"/>
                <w:left w:val="nil"/>
                <w:bottom w:val="nil"/>
                <w:right w:val="nil"/>
              </w:tblBorders>
              <w:tblLook w:val="0000" w:firstRow="0" w:lastRow="0" w:firstColumn="0" w:lastColumn="0" w:noHBand="0" w:noVBand="0"/>
            </w:tblPr>
            <w:tblGrid>
              <w:gridCol w:w="1637"/>
              <w:gridCol w:w="251"/>
            </w:tblGrid>
            <w:tr w:rsidR="00FC0474" w:rsidRPr="00D37ACF" w14:paraId="310F7AE7" w14:textId="77777777" w:rsidTr="00FC0474">
              <w:trPr>
                <w:trHeight w:val="93"/>
              </w:trPr>
              <w:tc>
                <w:tcPr>
                  <w:tcW w:w="1637" w:type="dxa"/>
                </w:tcPr>
                <w:p w14:paraId="7137F5C1" w14:textId="77777777" w:rsidR="00FC0474" w:rsidRPr="00D37ACF" w:rsidRDefault="00FC0474" w:rsidP="00FC0474">
                  <w:pPr>
                    <w:rPr>
                      <w:rFonts w:cs="Arial"/>
                      <w:sz w:val="16"/>
                      <w:szCs w:val="16"/>
                      <w:lang w:val="fr-FR"/>
                    </w:rPr>
                  </w:pPr>
                </w:p>
              </w:tc>
              <w:tc>
                <w:tcPr>
                  <w:tcW w:w="251" w:type="dxa"/>
                </w:tcPr>
                <w:p w14:paraId="0ADBE5E7" w14:textId="77777777" w:rsidR="00FC0474" w:rsidRPr="00D37ACF" w:rsidRDefault="00FC0474" w:rsidP="00D37ACF">
                  <w:pPr>
                    <w:spacing w:before="120" w:after="120" w:line="240" w:lineRule="auto"/>
                    <w:ind w:left="57"/>
                    <w:jc w:val="both"/>
                    <w:textAlignment w:val="baseline"/>
                    <w:rPr>
                      <w:rFonts w:cs="Arial"/>
                      <w:sz w:val="16"/>
                      <w:szCs w:val="16"/>
                      <w:lang w:val="fr-FR"/>
                    </w:rPr>
                  </w:pPr>
                </w:p>
              </w:tc>
            </w:tr>
          </w:tbl>
          <w:p w14:paraId="1B44836A" w14:textId="77777777" w:rsidR="00D37ACF" w:rsidRPr="00925D36" w:rsidRDefault="00D37ACF" w:rsidP="00D37ACF">
            <w:pPr>
              <w:autoSpaceDE w:val="0"/>
              <w:autoSpaceDN w:val="0"/>
              <w:adjustRightInd w:val="0"/>
              <w:jc w:val="both"/>
              <w:rPr>
                <w:rFonts w:ascii="Arial" w:hAnsi="Arial" w:cs="Arial"/>
                <w:sz w:val="16"/>
                <w:szCs w:val="16"/>
                <w:lang w:val="fr-FR"/>
              </w:rPr>
            </w:pPr>
          </w:p>
          <w:p w14:paraId="1D8C58A2" w14:textId="35D26243" w:rsidR="00D37ACF" w:rsidRPr="0094331C" w:rsidRDefault="00D37ACF" w:rsidP="00D37ACF">
            <w:pPr>
              <w:spacing w:after="0" w:line="240" w:lineRule="auto"/>
              <w:jc w:val="both"/>
              <w:textAlignment w:val="baseline"/>
              <w:rPr>
                <w:rFonts w:eastAsia="Times New Roman" w:cs="Segoe UI"/>
                <w:sz w:val="18"/>
                <w:szCs w:val="18"/>
                <w:lang w:eastAsia="fr-CH"/>
              </w:rPr>
            </w:pPr>
          </w:p>
        </w:tc>
      </w:tr>
      <w:bookmarkEnd w:id="0"/>
    </w:tbl>
    <w:p w14:paraId="774F45CF" w14:textId="77777777" w:rsidR="00DA4627" w:rsidRPr="00DA4627" w:rsidRDefault="00DA4627" w:rsidP="00D37ACF">
      <w:pPr>
        <w:tabs>
          <w:tab w:val="left" w:pos="1985"/>
        </w:tabs>
        <w:spacing w:after="240"/>
        <w:rPr>
          <w:lang w:eastAsia="fr-FR"/>
        </w:rPr>
      </w:pPr>
    </w:p>
    <w:sectPr w:rsidR="00DA4627" w:rsidRPr="00DA4627" w:rsidSect="00E34BE2">
      <w:footerReference w:type="default" r:id="rId8"/>
      <w:headerReference w:type="first" r:id="rId9"/>
      <w:footerReference w:type="first" r:id="rId10"/>
      <w:pgSz w:w="11906" w:h="16838"/>
      <w:pgMar w:top="1843"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5F00D" w14:textId="77777777" w:rsidR="00565C68" w:rsidRDefault="00565C68" w:rsidP="0099042D">
      <w:pPr>
        <w:spacing w:after="0" w:line="240" w:lineRule="auto"/>
      </w:pPr>
      <w:r>
        <w:separator/>
      </w:r>
    </w:p>
  </w:endnote>
  <w:endnote w:type="continuationSeparator" w:id="0">
    <w:p w14:paraId="417E27D7" w14:textId="77777777" w:rsidR="00565C68" w:rsidRDefault="00565C68" w:rsidP="00990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Regular">
    <w:altName w:val="Arial"/>
    <w:panose1 w:val="00000000000000000000"/>
    <w:charset w:val="00"/>
    <w:family w:val="auto"/>
    <w:notTrueType/>
    <w:pitch w:val="default"/>
    <w:sig w:usb0="00000003" w:usb1="00000000" w:usb2="00000000" w:usb3="00000000" w:csb0="00000001" w:csb1="00000000"/>
  </w:font>
  <w:font w:name="Roboto">
    <w:altName w:val="Arial"/>
    <w:charset w:val="00"/>
    <w:family w:val="auto"/>
    <w:pitch w:val="variable"/>
    <w:sig w:usb0="E0000AFF" w:usb1="5000217F" w:usb2="00000021" w:usb3="00000000" w:csb0="0000019F" w:csb1="00000000"/>
    <w:embedRegular r:id="rId1" w:fontKey="{FFE40EC8-CC36-45FA-9EE8-67A4C3F2E0C1}"/>
    <w:embedBold r:id="rId2" w:fontKey="{564DCBA6-0BD2-485D-8F1A-21A96A64AFF8}"/>
    <w:embedItalic r:id="rId3" w:fontKey="{1D3A55A4-520C-4AA2-BA75-0D1ABBDC73E1}"/>
  </w:font>
  <w:font w:name="Roboto bold">
    <w:altName w:val="Arial"/>
    <w:panose1 w:val="00000000000000000000"/>
    <w:charset w:val="00"/>
    <w:family w:val="roman"/>
    <w:notTrueType/>
    <w:pitch w:val="default"/>
  </w:font>
  <w:font w:name="Paralucent Bold">
    <w:altName w:val="Calibri"/>
    <w:panose1 w:val="00000000000000000000"/>
    <w:charset w:val="00"/>
    <w:family w:val="modern"/>
    <w:notTrueType/>
    <w:pitch w:val="variable"/>
    <w:sig w:usb0="A00000EF" w:usb1="4000006A" w:usb2="00000000" w:usb3="00000000" w:csb0="00000093" w:csb1="00000000"/>
  </w:font>
  <w:font w:name="Galano Grotesque Alt SemiBold">
    <w:altName w:val="Calibri"/>
    <w:panose1 w:val="00000000000000000000"/>
    <w:charset w:val="00"/>
    <w:family w:val="modern"/>
    <w:notTrueType/>
    <w:pitch w:val="variable"/>
    <w:sig w:usb0="00000007" w:usb1="00000000" w:usb2="00000000" w:usb3="00000000" w:csb0="00000093" w:csb1="00000000"/>
  </w:font>
  <w:font w:name="Noto Sans JP">
    <w:altName w:val="Yu Gothic"/>
    <w:panose1 w:val="00000000000000000000"/>
    <w:charset w:val="80"/>
    <w:family w:val="swiss"/>
    <w:notTrueType/>
    <w:pitch w:val="variable"/>
    <w:sig w:usb0="20000287" w:usb1="2ADF3C10" w:usb2="00000016" w:usb3="00000000" w:csb0="00060107" w:csb1="00000000"/>
  </w:font>
  <w:font w:name="Noto Serif JP Black">
    <w:panose1 w:val="00000000000000000000"/>
    <w:charset w:val="80"/>
    <w:family w:val="roman"/>
    <w:notTrueType/>
    <w:pitch w:val="variable"/>
    <w:sig w:usb0="20000287" w:usb1="2ADF3C10" w:usb2="00000016" w:usb3="00000000" w:csb0="00060107" w:csb1="00000000"/>
  </w:font>
  <w:font w:name="Noto Sans JP Light">
    <w:panose1 w:val="00000000000000000000"/>
    <w:charset w:val="80"/>
    <w:family w:val="swiss"/>
    <w:notTrueType/>
    <w:pitch w:val="variable"/>
    <w:sig w:usb0="20000287" w:usb1="2ADF3C10" w:usb2="00000016" w:usb3="00000000" w:csb0="00060107" w:csb1="00000000"/>
  </w:font>
  <w:font w:name="Vaud">
    <w:panose1 w:val="00000000000000000000"/>
    <w:charset w:val="00"/>
    <w:family w:val="modern"/>
    <w:notTrueType/>
    <w:pitch w:val="variable"/>
    <w:sig w:usb0="A00000AF" w:usb1="5000204A" w:usb2="00000000" w:usb3="00000000" w:csb0="00000193" w:csb1="00000000"/>
  </w:font>
  <w:font w:name="Roboto Condensed">
    <w:altName w:val="Arial"/>
    <w:charset w:val="00"/>
    <w:family w:val="auto"/>
    <w:pitch w:val="variable"/>
    <w:sig w:usb0="E0000AFF" w:usb1="5000217F" w:usb2="00000021" w:usb3="00000000" w:csb0="0000019F" w:csb1="00000000"/>
  </w:font>
  <w:font w:name="Apple Chancery">
    <w:altName w:val="Courier New"/>
    <w:charset w:val="00"/>
    <w:family w:val="auto"/>
    <w:pitch w:val="variable"/>
    <w:sig w:usb0="00000000" w:usb1="00000003" w:usb2="00000000" w:usb3="00000000" w:csb0="000001F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embedBold r:id="rId4" w:subsetted="1" w:fontKey="{38D46438-DDB2-4DC4-9806-E853ACAD9F9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9475" w14:textId="77777777" w:rsidR="00E34BE2" w:rsidRPr="00D9551A" w:rsidRDefault="00F56C3C" w:rsidP="00E34BE2">
    <w:pPr>
      <w:pStyle w:val="Pieddepage"/>
      <w:tabs>
        <w:tab w:val="clear" w:pos="4536"/>
        <w:tab w:val="center" w:pos="993"/>
      </w:tabs>
      <w:ind w:right="748"/>
      <w:jc w:val="center"/>
      <w:rPr>
        <w:color w:val="5C7F92"/>
      </w:rPr>
    </w:pPr>
    <w:sdt>
      <w:sdtPr>
        <w:rPr>
          <w:color w:val="5C7F92"/>
        </w:rPr>
        <w:id w:val="-935588795"/>
        <w:docPartObj>
          <w:docPartGallery w:val="Page Numbers (Bottom of Page)"/>
          <w:docPartUnique/>
        </w:docPartObj>
      </w:sdtPr>
      <w:sdtEndPr/>
      <w:sdtContent>
        <w:sdt>
          <w:sdtPr>
            <w:rPr>
              <w:color w:val="5C7F92"/>
              <w:sz w:val="17"/>
              <w:szCs w:val="17"/>
            </w:rPr>
            <w:alias w:val="Entreprise"/>
            <w:tag w:val="Entreprise"/>
            <w:id w:val="-69428294"/>
            <w:placeholder>
              <w:docPart w:val="02DBF90A95FB4E3EB96CB39DD2C19694"/>
            </w:placeholder>
            <w:comboBox>
              <w:listItem w:value="Choisissez un élément."/>
              <w:listItem w:displayText="ALTIS Groupe SA" w:value="ALTIS Groupe SA"/>
              <w:listItem w:displayText="EVB SA" w:value="EVB SA"/>
              <w:listItem w:displayText="GECAL SA" w:value="GECAL SA"/>
              <w:listItem w:displayText="SEDRE SA" w:value="SEDRE SA"/>
              <w:listItem w:displayText="S.EAUX &amp; ENERGIES" w:value="S.EAUX &amp; ENERGIES"/>
              <w:listItem w:displayText="SOGESA" w:value="SOGESA"/>
              <w:listItem w:displayText="BlueArk Entremont SA" w:value="BlueArk Entremont SA"/>
            </w:comboBox>
          </w:sdtPr>
          <w:sdtEndPr/>
          <w:sdtContent>
            <w:r w:rsidR="00E34BE2" w:rsidRPr="00D9551A">
              <w:rPr>
                <w:color w:val="5C7F92"/>
                <w:sz w:val="17"/>
                <w:szCs w:val="17"/>
              </w:rPr>
              <w:t>ALTIS Groupe SA</w:t>
            </w:r>
          </w:sdtContent>
        </w:sdt>
        <w:r w:rsidR="00E34BE2" w:rsidRPr="00D9551A">
          <w:rPr>
            <w:color w:val="5C7F92"/>
            <w:sz w:val="17"/>
            <w:szCs w:val="17"/>
          </w:rPr>
          <w:t xml:space="preserve"> – Place de Curala 5 – 1934 Le Châble VS – 027 777 10 01 – www.altis.swiss</w:t>
        </w:r>
      </w:sdtContent>
    </w:sdt>
    <w:r w:rsidR="00E34BE2" w:rsidRPr="00D9551A">
      <w:rPr>
        <w:b/>
        <w:bCs/>
        <w:color w:val="5C7F92"/>
        <w:sz w:val="17"/>
        <w:szCs w:val="17"/>
      </w:rPr>
      <w:t xml:space="preserve"> </w:t>
    </w:r>
    <w:r w:rsidR="00E34BE2" w:rsidRPr="00D9551A">
      <w:rPr>
        <w:b/>
        <w:bCs/>
        <w:color w:val="5C7F92"/>
        <w:sz w:val="17"/>
        <w:szCs w:val="17"/>
      </w:rPr>
      <w:br/>
    </w:r>
    <w:r w:rsidR="00E34BE2" w:rsidRPr="002F11E5">
      <w:rPr>
        <w:color w:val="5C7F92"/>
        <w:sz w:val="17"/>
        <w:szCs w:val="17"/>
      </w:rPr>
      <w:t>Valais Excellence</w:t>
    </w:r>
    <w:r w:rsidR="00E34BE2" w:rsidRPr="00D9551A">
      <w:rPr>
        <w:color w:val="5C7F92"/>
        <w:sz w:val="17"/>
        <w:szCs w:val="17"/>
      </w:rPr>
      <w:t xml:space="preserve"> ISO 9001 – 14'001 – 45'001 – 55’001</w:t>
    </w:r>
  </w:p>
  <w:p w14:paraId="29ED3FAC" w14:textId="77777777" w:rsidR="00E34BE2" w:rsidRPr="00D9551A" w:rsidRDefault="00E34BE2" w:rsidP="00C92CD5">
    <w:pPr>
      <w:pStyle w:val="Pieddepage"/>
      <w:tabs>
        <w:tab w:val="clear" w:pos="4536"/>
        <w:tab w:val="center" w:pos="993"/>
      </w:tabs>
      <w:ind w:right="-711"/>
      <w:jc w:val="center"/>
      <w:rPr>
        <w:color w:val="5C7F92"/>
        <w:sz w:val="17"/>
        <w:szCs w:val="17"/>
      </w:rPr>
    </w:pPr>
    <w:r w:rsidRPr="00D9551A">
      <w:rPr>
        <w:color w:val="5C7F92"/>
        <w:sz w:val="17"/>
        <w:szCs w:val="17"/>
      </w:rPr>
      <w:tab/>
    </w:r>
    <w:r w:rsidRPr="00D9551A">
      <w:rPr>
        <w:color w:val="5C7F92"/>
        <w:sz w:val="17"/>
        <w:szCs w:val="17"/>
      </w:rPr>
      <w:tab/>
    </w:r>
    <w:r w:rsidRPr="00D9551A">
      <w:rPr>
        <w:color w:val="5C7F92"/>
        <w:sz w:val="17"/>
        <w:szCs w:val="17"/>
      </w:rPr>
      <w:fldChar w:fldCharType="begin"/>
    </w:r>
    <w:r w:rsidRPr="00D9551A">
      <w:rPr>
        <w:color w:val="5C7F92"/>
        <w:sz w:val="17"/>
        <w:szCs w:val="17"/>
      </w:rPr>
      <w:instrText>PAGE  \* Arabic  \* MERGEFORMAT</w:instrText>
    </w:r>
    <w:r w:rsidRPr="00D9551A">
      <w:rPr>
        <w:color w:val="5C7F92"/>
        <w:sz w:val="17"/>
        <w:szCs w:val="17"/>
      </w:rPr>
      <w:fldChar w:fldCharType="separate"/>
    </w:r>
    <w:r w:rsidRPr="00D9551A">
      <w:rPr>
        <w:color w:val="5C7F92"/>
        <w:sz w:val="17"/>
        <w:szCs w:val="17"/>
      </w:rPr>
      <w:t>1</w:t>
    </w:r>
    <w:r w:rsidRPr="00D9551A">
      <w:rPr>
        <w:color w:val="5C7F92"/>
        <w:sz w:val="17"/>
        <w:szCs w:val="17"/>
      </w:rPr>
      <w:fldChar w:fldCharType="end"/>
    </w:r>
    <w:r w:rsidRPr="00D9551A">
      <w:rPr>
        <w:color w:val="5C7F92"/>
        <w:sz w:val="17"/>
        <w:szCs w:val="17"/>
      </w:rPr>
      <w:t xml:space="preserve"> </w:t>
    </w:r>
    <w:r w:rsidR="00B007E3">
      <w:rPr>
        <w:color w:val="5C7F92"/>
        <w:sz w:val="17"/>
        <w:szCs w:val="17"/>
      </w:rPr>
      <w:t>/</w:t>
    </w:r>
    <w:r w:rsidRPr="00D9551A">
      <w:rPr>
        <w:color w:val="5C7F92"/>
        <w:sz w:val="17"/>
        <w:szCs w:val="17"/>
      </w:rPr>
      <w:t xml:space="preserve"> </w:t>
    </w:r>
    <w:r w:rsidRPr="00D9551A">
      <w:rPr>
        <w:color w:val="5C7F92"/>
        <w:sz w:val="17"/>
        <w:szCs w:val="17"/>
      </w:rPr>
      <w:fldChar w:fldCharType="begin"/>
    </w:r>
    <w:r w:rsidRPr="00D9551A">
      <w:rPr>
        <w:color w:val="5C7F92"/>
        <w:sz w:val="17"/>
        <w:szCs w:val="17"/>
      </w:rPr>
      <w:instrText>NUMPAGES  \* Arabic  \* MERGEFORMAT</w:instrText>
    </w:r>
    <w:r w:rsidRPr="00D9551A">
      <w:rPr>
        <w:color w:val="5C7F92"/>
        <w:sz w:val="17"/>
        <w:szCs w:val="17"/>
      </w:rPr>
      <w:fldChar w:fldCharType="separate"/>
    </w:r>
    <w:r w:rsidRPr="00D9551A">
      <w:rPr>
        <w:color w:val="5C7F92"/>
        <w:sz w:val="17"/>
        <w:szCs w:val="17"/>
      </w:rPr>
      <w:t>1</w:t>
    </w:r>
    <w:r w:rsidRPr="00D9551A">
      <w:rPr>
        <w:color w:val="5C7F92"/>
        <w:sz w:val="17"/>
        <w:szCs w:val="17"/>
      </w:rPr>
      <w:fldChar w:fldCharType="end"/>
    </w:r>
  </w:p>
  <w:p w14:paraId="0DB06402" w14:textId="77777777" w:rsidR="00305BD5" w:rsidRPr="00D9551A" w:rsidRDefault="00305BD5" w:rsidP="00305BD5">
    <w:pPr>
      <w:pStyle w:val="Pieddepage"/>
      <w:ind w:left="2410"/>
      <w:rPr>
        <w:color w:val="5C7F9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22367366"/>
  <w:p w14:paraId="5B86425E" w14:textId="77777777" w:rsidR="00E34BE2" w:rsidRPr="00D9551A" w:rsidRDefault="00F56C3C" w:rsidP="00E34BE2">
    <w:pPr>
      <w:pStyle w:val="Pieddepage"/>
      <w:tabs>
        <w:tab w:val="clear" w:pos="4536"/>
        <w:tab w:val="center" w:pos="993"/>
      </w:tabs>
      <w:ind w:right="748"/>
      <w:jc w:val="center"/>
      <w:rPr>
        <w:color w:val="5C7F92"/>
      </w:rPr>
    </w:pPr>
    <w:sdt>
      <w:sdtPr>
        <w:rPr>
          <w:color w:val="5C7F92"/>
        </w:rPr>
        <w:id w:val="-103810435"/>
        <w:docPartObj>
          <w:docPartGallery w:val="Page Numbers (Bottom of Page)"/>
          <w:docPartUnique/>
        </w:docPartObj>
      </w:sdtPr>
      <w:sdtEndPr/>
      <w:sdtContent>
        <w:sdt>
          <w:sdtPr>
            <w:rPr>
              <w:color w:val="5C7F92"/>
              <w:sz w:val="17"/>
              <w:szCs w:val="17"/>
            </w:rPr>
            <w:alias w:val="Entreprise"/>
            <w:tag w:val="Entreprise"/>
            <w:id w:val="9115923"/>
            <w:placeholder>
              <w:docPart w:val="ECFEB952F2AB4A1C94B867058263D586"/>
            </w:placeholder>
            <w:comboBox>
              <w:listItem w:value="Choisissez un élément."/>
              <w:listItem w:displayText="ALTIS Groupe SA" w:value="ALTIS Groupe SA"/>
              <w:listItem w:displayText="EVB SA" w:value="EVB SA"/>
              <w:listItem w:displayText="GECAL SA" w:value="GECAL SA"/>
              <w:listItem w:displayText="SEDRE SA" w:value="SEDRE SA"/>
              <w:listItem w:displayText="S.EAUX &amp; ENERGIES" w:value="S.EAUX &amp; ENERGIES"/>
              <w:listItem w:displayText="SOGESA" w:value="SOGESA"/>
              <w:listItem w:displayText="BlueArk Entremont SA" w:value="BlueArk Entremont SA"/>
            </w:comboBox>
          </w:sdtPr>
          <w:sdtEndPr/>
          <w:sdtContent>
            <w:r w:rsidR="00E34BE2" w:rsidRPr="00D9551A">
              <w:rPr>
                <w:color w:val="5C7F92"/>
                <w:sz w:val="17"/>
                <w:szCs w:val="17"/>
              </w:rPr>
              <w:t>ALTIS Groupe SA</w:t>
            </w:r>
          </w:sdtContent>
        </w:sdt>
        <w:r w:rsidR="00E34BE2" w:rsidRPr="00D9551A">
          <w:rPr>
            <w:color w:val="5C7F92"/>
            <w:sz w:val="17"/>
            <w:szCs w:val="17"/>
          </w:rPr>
          <w:t xml:space="preserve"> – Place de Curala 5 – 1934 Le Châble VS – 027 777 10 01 – www.altis.swiss</w:t>
        </w:r>
      </w:sdtContent>
    </w:sdt>
    <w:r w:rsidR="00E34BE2" w:rsidRPr="00D9551A">
      <w:rPr>
        <w:b/>
        <w:bCs/>
        <w:color w:val="5C7F92"/>
        <w:sz w:val="17"/>
        <w:szCs w:val="17"/>
      </w:rPr>
      <w:t xml:space="preserve"> </w:t>
    </w:r>
    <w:r w:rsidR="00E34BE2" w:rsidRPr="00D9551A">
      <w:rPr>
        <w:b/>
        <w:bCs/>
        <w:color w:val="5C7F92"/>
        <w:sz w:val="17"/>
        <w:szCs w:val="17"/>
      </w:rPr>
      <w:br/>
    </w:r>
    <w:r w:rsidR="00E34BE2" w:rsidRPr="002F11E5">
      <w:rPr>
        <w:color w:val="5C7F92"/>
        <w:sz w:val="17"/>
        <w:szCs w:val="17"/>
      </w:rPr>
      <w:t>Valais Excellence</w:t>
    </w:r>
    <w:r w:rsidR="00E34BE2" w:rsidRPr="00D9551A">
      <w:rPr>
        <w:color w:val="5C7F92"/>
        <w:sz w:val="17"/>
        <w:szCs w:val="17"/>
      </w:rPr>
      <w:t xml:space="preserve"> ISO 9001 – 14'001 – 45'001 – 55’001</w:t>
    </w:r>
  </w:p>
  <w:bookmarkEnd w:id="1"/>
  <w:p w14:paraId="48ACFDB2" w14:textId="77777777" w:rsidR="00E92F20" w:rsidRDefault="00E92F20" w:rsidP="00E92F20">
    <w:pPr>
      <w:pStyle w:val="Pieddepage"/>
      <w:tabs>
        <w:tab w:val="clear" w:pos="4536"/>
        <w:tab w:val="center" w:pos="4253"/>
      </w:tabs>
      <w:ind w:left="3969" w:hanging="1559"/>
      <w:rPr>
        <w:sz w:val="17"/>
        <w:szCs w:val="17"/>
      </w:rPr>
    </w:pPr>
  </w:p>
  <w:p w14:paraId="2F8D5E92" w14:textId="77777777" w:rsidR="00E92F20" w:rsidRDefault="00E92F20" w:rsidP="00E92F20">
    <w:pPr>
      <w:pStyle w:val="Pieddepage"/>
      <w:ind w:left="24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1C86B" w14:textId="77777777" w:rsidR="00565C68" w:rsidRDefault="00565C68" w:rsidP="0099042D">
      <w:pPr>
        <w:spacing w:after="0" w:line="240" w:lineRule="auto"/>
      </w:pPr>
      <w:r>
        <w:separator/>
      </w:r>
    </w:p>
  </w:footnote>
  <w:footnote w:type="continuationSeparator" w:id="0">
    <w:p w14:paraId="7C7BAEDE" w14:textId="77777777" w:rsidR="00565C68" w:rsidRDefault="00565C68" w:rsidP="00990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409BE" w14:textId="2A79D8A7" w:rsidR="00E36CBB" w:rsidRDefault="00E36CBB" w:rsidP="00D65BD9">
    <w:pPr>
      <w:pStyle w:val="En-tte"/>
      <w:tabs>
        <w:tab w:val="clear" w:pos="9072"/>
        <w:tab w:val="right" w:pos="9070"/>
      </w:tabs>
    </w:pPr>
    <w:r>
      <w:rPr>
        <w:noProof/>
        <w:lang w:eastAsia="fr-CH"/>
      </w:rPr>
      <w:drawing>
        <wp:inline distT="0" distB="0" distL="0" distR="0" wp14:anchorId="619B9A50" wp14:editId="297BECB8">
          <wp:extent cx="866775" cy="496810"/>
          <wp:effectExtent l="0" t="0" r="0" b="0"/>
          <wp:docPr id="2" name="Image 2"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logo&#10;&#10;Description générée automatiquement"/>
                  <pic:cNvPicPr/>
                </pic:nvPicPr>
                <pic:blipFill>
                  <a:blip r:embed="rId1"/>
                  <a:stretch>
                    <a:fillRect/>
                  </a:stretch>
                </pic:blipFill>
                <pic:spPr>
                  <a:xfrm>
                    <a:off x="0" y="0"/>
                    <a:ext cx="881807" cy="5054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2FE4"/>
    <w:multiLevelType w:val="hybridMultilevel"/>
    <w:tmpl w:val="D5F228C8"/>
    <w:lvl w:ilvl="0" w:tplc="7604FAB0">
      <w:start w:val="1"/>
      <w:numFmt w:val="decimal"/>
      <w:lvlText w:val="%1."/>
      <w:lvlJc w:val="left"/>
      <w:pPr>
        <w:ind w:left="720" w:hanging="360"/>
      </w:pPr>
      <w:rPr>
        <w:b/>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1" w15:restartNumberingAfterBreak="0">
    <w:nsid w:val="11B33319"/>
    <w:multiLevelType w:val="hybridMultilevel"/>
    <w:tmpl w:val="17BA95E0"/>
    <w:lvl w:ilvl="0" w:tplc="10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D00E25"/>
    <w:multiLevelType w:val="multilevel"/>
    <w:tmpl w:val="8C201464"/>
    <w:lvl w:ilvl="0">
      <w:start w:val="1"/>
      <w:numFmt w:val="decimal"/>
      <w:lvlText w:val="%1."/>
      <w:lvlJc w:val="left"/>
      <w:pPr>
        <w:ind w:left="36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3" w15:restartNumberingAfterBreak="0">
    <w:nsid w:val="2DD75AA7"/>
    <w:multiLevelType w:val="hybridMultilevel"/>
    <w:tmpl w:val="A3E4D400"/>
    <w:lvl w:ilvl="0" w:tplc="4070655A">
      <w:start w:val="1"/>
      <w:numFmt w:val="decimalZero"/>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3243653F"/>
    <w:multiLevelType w:val="hybridMultilevel"/>
    <w:tmpl w:val="B21431A8"/>
    <w:lvl w:ilvl="0" w:tplc="866207D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35110B14"/>
    <w:multiLevelType w:val="hybridMultilevel"/>
    <w:tmpl w:val="43CA2A74"/>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385F53F4"/>
    <w:multiLevelType w:val="hybridMultilevel"/>
    <w:tmpl w:val="2ACC17BA"/>
    <w:lvl w:ilvl="0" w:tplc="8DEE4830">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3CB0659A"/>
    <w:multiLevelType w:val="hybridMultilevel"/>
    <w:tmpl w:val="19D0855E"/>
    <w:lvl w:ilvl="0" w:tplc="090ED680">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8" w15:restartNumberingAfterBreak="0">
    <w:nsid w:val="3E411223"/>
    <w:multiLevelType w:val="hybridMultilevel"/>
    <w:tmpl w:val="44D03928"/>
    <w:lvl w:ilvl="0" w:tplc="25860DC6">
      <w:start w:val="4"/>
      <w:numFmt w:val="decimal"/>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9" w15:restartNumberingAfterBreak="0">
    <w:nsid w:val="45E6521C"/>
    <w:multiLevelType w:val="hybridMultilevel"/>
    <w:tmpl w:val="64EE81FC"/>
    <w:lvl w:ilvl="0" w:tplc="44DE5CC4">
      <w:numFmt w:val="bullet"/>
      <w:lvlText w:val="-"/>
      <w:lvlJc w:val="left"/>
      <w:pPr>
        <w:ind w:left="2348" w:hanging="1988"/>
      </w:pPr>
      <w:rPr>
        <w:rFonts w:ascii="Roboto-Regular" w:eastAsiaTheme="minorHAnsi" w:hAnsi="Roboto-Regular" w:cs="Roboto-Regular"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488F640B"/>
    <w:multiLevelType w:val="hybridMultilevel"/>
    <w:tmpl w:val="8E44422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A6953BD"/>
    <w:multiLevelType w:val="multilevel"/>
    <w:tmpl w:val="B6321576"/>
    <w:lvl w:ilvl="0">
      <w:start w:val="1"/>
      <w:numFmt w:val="decimal"/>
      <w:lvlText w:val="%1."/>
      <w:lvlJc w:val="left"/>
      <w:pPr>
        <w:ind w:left="360" w:hanging="360"/>
      </w:pPr>
      <w:rPr>
        <w:b/>
        <w:i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AA43DE6"/>
    <w:multiLevelType w:val="hybridMultilevel"/>
    <w:tmpl w:val="E2429F18"/>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4CFF185C"/>
    <w:multiLevelType w:val="multilevel"/>
    <w:tmpl w:val="FD7C1834"/>
    <w:lvl w:ilvl="0">
      <w:start w:val="1"/>
      <w:numFmt w:val="decimal"/>
      <w:lvlText w:val="%1."/>
      <w:lvlJc w:val="left"/>
      <w:pPr>
        <w:ind w:left="360" w:hanging="360"/>
      </w:pPr>
    </w:lvl>
    <w:lvl w:ilvl="1">
      <w:start w:val="1"/>
      <w:numFmt w:val="decimal"/>
      <w:pStyle w:val="02Chapitre2"/>
      <w:lvlText w:val="%1.%2."/>
      <w:lvlJc w:val="left"/>
      <w:pPr>
        <w:ind w:left="792" w:hanging="432"/>
      </w:pPr>
    </w:lvl>
    <w:lvl w:ilvl="2">
      <w:start w:val="1"/>
      <w:numFmt w:val="decimal"/>
      <w:pStyle w:val="03Chap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F14C4F"/>
    <w:multiLevelType w:val="hybridMultilevel"/>
    <w:tmpl w:val="B546D572"/>
    <w:lvl w:ilvl="0" w:tplc="08E81720">
      <w:start w:val="1"/>
      <w:numFmt w:val="decimal"/>
      <w:pStyle w:val="01titre"/>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6B834399"/>
    <w:multiLevelType w:val="hybridMultilevel"/>
    <w:tmpl w:val="243A378E"/>
    <w:lvl w:ilvl="0" w:tplc="D3027196">
      <w:numFmt w:val="bullet"/>
      <w:lvlText w:val="-"/>
      <w:lvlJc w:val="left"/>
      <w:pPr>
        <w:ind w:left="2348" w:hanging="1988"/>
      </w:pPr>
      <w:rPr>
        <w:rFonts w:ascii="Roboto-Regular" w:eastAsiaTheme="minorHAnsi" w:hAnsi="Roboto-Regular" w:cs="Roboto-Regular"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71EB24F8"/>
    <w:multiLevelType w:val="hybridMultilevel"/>
    <w:tmpl w:val="89EEDA1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77D7399A"/>
    <w:multiLevelType w:val="hybridMultilevel"/>
    <w:tmpl w:val="16181C12"/>
    <w:lvl w:ilvl="0" w:tplc="2FA42522">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7B8905AC"/>
    <w:multiLevelType w:val="hybridMultilevel"/>
    <w:tmpl w:val="E7CC37F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7CCE316F"/>
    <w:multiLevelType w:val="hybridMultilevel"/>
    <w:tmpl w:val="63AE7EF2"/>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7E5E21D6"/>
    <w:multiLevelType w:val="multilevel"/>
    <w:tmpl w:val="FB0215BE"/>
    <w:lvl w:ilvl="0">
      <w:start w:val="1"/>
      <w:numFmt w:val="decimal"/>
      <w:lvlText w:val="%1."/>
      <w:lvlJc w:val="left"/>
      <w:pPr>
        <w:ind w:left="360" w:hanging="360"/>
      </w:pPr>
      <w:rPr>
        <w:rFonts w:ascii="Roboto bold" w:hAnsi="Roboto bold"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12759662">
    <w:abstractNumId w:val="3"/>
  </w:num>
  <w:num w:numId="2" w16cid:durableId="8852618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4089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78999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1337200">
    <w:abstractNumId w:val="14"/>
  </w:num>
  <w:num w:numId="6" w16cid:durableId="1034888660">
    <w:abstractNumId w:val="17"/>
  </w:num>
  <w:num w:numId="7" w16cid:durableId="87895421">
    <w:abstractNumId w:val="0"/>
  </w:num>
  <w:num w:numId="8" w16cid:durableId="511649930">
    <w:abstractNumId w:val="20"/>
  </w:num>
  <w:num w:numId="9" w16cid:durableId="747579011">
    <w:abstractNumId w:val="20"/>
  </w:num>
  <w:num w:numId="10" w16cid:durableId="1449473615">
    <w:abstractNumId w:val="20"/>
  </w:num>
  <w:num w:numId="11" w16cid:durableId="839930340">
    <w:abstractNumId w:val="13"/>
  </w:num>
  <w:num w:numId="12" w16cid:durableId="1561357875">
    <w:abstractNumId w:val="4"/>
  </w:num>
  <w:num w:numId="13" w16cid:durableId="118030710">
    <w:abstractNumId w:val="4"/>
  </w:num>
  <w:num w:numId="14" w16cid:durableId="1086459709">
    <w:abstractNumId w:val="4"/>
    <w:lvlOverride w:ilvl="0">
      <w:startOverride w:val="12"/>
    </w:lvlOverride>
  </w:num>
  <w:num w:numId="15" w16cid:durableId="1994217225">
    <w:abstractNumId w:val="16"/>
  </w:num>
  <w:num w:numId="16" w16cid:durableId="1862432077">
    <w:abstractNumId w:val="8"/>
  </w:num>
  <w:num w:numId="17" w16cid:durableId="1153521839">
    <w:abstractNumId w:val="10"/>
  </w:num>
  <w:num w:numId="18" w16cid:durableId="1770127588">
    <w:abstractNumId w:val="9"/>
  </w:num>
  <w:num w:numId="19" w16cid:durableId="1215967982">
    <w:abstractNumId w:val="1"/>
  </w:num>
  <w:num w:numId="20" w16cid:durableId="430200370">
    <w:abstractNumId w:val="19"/>
  </w:num>
  <w:num w:numId="21" w16cid:durableId="1712613129">
    <w:abstractNumId w:val="15"/>
  </w:num>
  <w:num w:numId="22" w16cid:durableId="757748922">
    <w:abstractNumId w:val="6"/>
  </w:num>
  <w:num w:numId="23" w16cid:durableId="1257709641">
    <w:abstractNumId w:val="12"/>
  </w:num>
  <w:num w:numId="24" w16cid:durableId="1559197671">
    <w:abstractNumId w:val="5"/>
  </w:num>
  <w:num w:numId="25" w16cid:durableId="164395486">
    <w:abstractNumId w:val="18"/>
  </w:num>
  <w:num w:numId="26" w16cid:durableId="1524636498">
    <w:abstractNumId w:val="13"/>
  </w:num>
  <w:num w:numId="27" w16cid:durableId="10420921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embedSystemFonts/>
  <w:saveSubsetFont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4B"/>
    <w:rsid w:val="0001255E"/>
    <w:rsid w:val="000264BE"/>
    <w:rsid w:val="00027DE0"/>
    <w:rsid w:val="000366B2"/>
    <w:rsid w:val="00053371"/>
    <w:rsid w:val="0007004C"/>
    <w:rsid w:val="00072513"/>
    <w:rsid w:val="000939CA"/>
    <w:rsid w:val="00094B9D"/>
    <w:rsid w:val="000A60C2"/>
    <w:rsid w:val="000A72CD"/>
    <w:rsid w:val="000A7B84"/>
    <w:rsid w:val="000D3360"/>
    <w:rsid w:val="000E08DE"/>
    <w:rsid w:val="0012034A"/>
    <w:rsid w:val="0014555B"/>
    <w:rsid w:val="001473CB"/>
    <w:rsid w:val="00166DDF"/>
    <w:rsid w:val="00174F95"/>
    <w:rsid w:val="00181199"/>
    <w:rsid w:val="00184B25"/>
    <w:rsid w:val="001963BF"/>
    <w:rsid w:val="001C2088"/>
    <w:rsid w:val="00203656"/>
    <w:rsid w:val="00211187"/>
    <w:rsid w:val="002146B8"/>
    <w:rsid w:val="00255706"/>
    <w:rsid w:val="00260328"/>
    <w:rsid w:val="002614CD"/>
    <w:rsid w:val="00275DFF"/>
    <w:rsid w:val="0028216A"/>
    <w:rsid w:val="00291A83"/>
    <w:rsid w:val="002A0E5C"/>
    <w:rsid w:val="002B0C54"/>
    <w:rsid w:val="002D6340"/>
    <w:rsid w:val="002E781A"/>
    <w:rsid w:val="002F11E5"/>
    <w:rsid w:val="003058DA"/>
    <w:rsid w:val="00305BD5"/>
    <w:rsid w:val="003173CA"/>
    <w:rsid w:val="00330EB0"/>
    <w:rsid w:val="0033750D"/>
    <w:rsid w:val="003642C2"/>
    <w:rsid w:val="00391CAD"/>
    <w:rsid w:val="00395ED0"/>
    <w:rsid w:val="003A55AD"/>
    <w:rsid w:val="003C59B5"/>
    <w:rsid w:val="003C6EDE"/>
    <w:rsid w:val="003D4F56"/>
    <w:rsid w:val="003D57A7"/>
    <w:rsid w:val="003D6329"/>
    <w:rsid w:val="003E1361"/>
    <w:rsid w:val="0042649F"/>
    <w:rsid w:val="00431D3C"/>
    <w:rsid w:val="00432755"/>
    <w:rsid w:val="0046101F"/>
    <w:rsid w:val="00486627"/>
    <w:rsid w:val="004A38D2"/>
    <w:rsid w:val="004A4FCD"/>
    <w:rsid w:val="004B01EE"/>
    <w:rsid w:val="004C2A02"/>
    <w:rsid w:val="004D6445"/>
    <w:rsid w:val="004E2E44"/>
    <w:rsid w:val="004F618B"/>
    <w:rsid w:val="0050650F"/>
    <w:rsid w:val="00565C68"/>
    <w:rsid w:val="005C067B"/>
    <w:rsid w:val="005D19D4"/>
    <w:rsid w:val="005E1B58"/>
    <w:rsid w:val="00606B27"/>
    <w:rsid w:val="00607051"/>
    <w:rsid w:val="00610E67"/>
    <w:rsid w:val="006140A5"/>
    <w:rsid w:val="00614E52"/>
    <w:rsid w:val="006405C9"/>
    <w:rsid w:val="00646B3D"/>
    <w:rsid w:val="0065473A"/>
    <w:rsid w:val="00692E11"/>
    <w:rsid w:val="006C456E"/>
    <w:rsid w:val="006C51C5"/>
    <w:rsid w:val="006E73CF"/>
    <w:rsid w:val="007032E6"/>
    <w:rsid w:val="00712ED4"/>
    <w:rsid w:val="00713082"/>
    <w:rsid w:val="00726979"/>
    <w:rsid w:val="00765D9B"/>
    <w:rsid w:val="00795586"/>
    <w:rsid w:val="007A0FD6"/>
    <w:rsid w:val="007A12AE"/>
    <w:rsid w:val="007D70E2"/>
    <w:rsid w:val="007E7A5E"/>
    <w:rsid w:val="007F761F"/>
    <w:rsid w:val="00820BF8"/>
    <w:rsid w:val="00826807"/>
    <w:rsid w:val="00830005"/>
    <w:rsid w:val="00830F84"/>
    <w:rsid w:val="00873BC0"/>
    <w:rsid w:val="00894325"/>
    <w:rsid w:val="008B43DF"/>
    <w:rsid w:val="008D2123"/>
    <w:rsid w:val="008D6F35"/>
    <w:rsid w:val="008E1CFA"/>
    <w:rsid w:val="008F32A8"/>
    <w:rsid w:val="00910254"/>
    <w:rsid w:val="00925AAF"/>
    <w:rsid w:val="00935D4A"/>
    <w:rsid w:val="0094331C"/>
    <w:rsid w:val="00967011"/>
    <w:rsid w:val="00967B90"/>
    <w:rsid w:val="009702B3"/>
    <w:rsid w:val="00977174"/>
    <w:rsid w:val="00986900"/>
    <w:rsid w:val="0099042D"/>
    <w:rsid w:val="009B0DDA"/>
    <w:rsid w:val="009B48C5"/>
    <w:rsid w:val="009C26D9"/>
    <w:rsid w:val="009C5EC7"/>
    <w:rsid w:val="009E567D"/>
    <w:rsid w:val="00A04EC9"/>
    <w:rsid w:val="00A10CB6"/>
    <w:rsid w:val="00A30B04"/>
    <w:rsid w:val="00A440DF"/>
    <w:rsid w:val="00A56F7D"/>
    <w:rsid w:val="00A75663"/>
    <w:rsid w:val="00A80083"/>
    <w:rsid w:val="00A809A6"/>
    <w:rsid w:val="00A83F2B"/>
    <w:rsid w:val="00A92BC5"/>
    <w:rsid w:val="00AB203D"/>
    <w:rsid w:val="00AC2952"/>
    <w:rsid w:val="00AE1CEB"/>
    <w:rsid w:val="00AE383D"/>
    <w:rsid w:val="00AE3DD4"/>
    <w:rsid w:val="00AF3A3F"/>
    <w:rsid w:val="00B007E3"/>
    <w:rsid w:val="00B04BCA"/>
    <w:rsid w:val="00B063B9"/>
    <w:rsid w:val="00B12A32"/>
    <w:rsid w:val="00B17777"/>
    <w:rsid w:val="00B3790B"/>
    <w:rsid w:val="00B513D7"/>
    <w:rsid w:val="00B52DB6"/>
    <w:rsid w:val="00B573CB"/>
    <w:rsid w:val="00B70291"/>
    <w:rsid w:val="00B90419"/>
    <w:rsid w:val="00BA011D"/>
    <w:rsid w:val="00BD3ECB"/>
    <w:rsid w:val="00C112E6"/>
    <w:rsid w:val="00C16E9A"/>
    <w:rsid w:val="00C2006C"/>
    <w:rsid w:val="00C32E32"/>
    <w:rsid w:val="00C3718E"/>
    <w:rsid w:val="00C42487"/>
    <w:rsid w:val="00C573AC"/>
    <w:rsid w:val="00C618F7"/>
    <w:rsid w:val="00C662EE"/>
    <w:rsid w:val="00C92CD5"/>
    <w:rsid w:val="00CA3B71"/>
    <w:rsid w:val="00CA473A"/>
    <w:rsid w:val="00CB0299"/>
    <w:rsid w:val="00CC014B"/>
    <w:rsid w:val="00CC1C1A"/>
    <w:rsid w:val="00CF531E"/>
    <w:rsid w:val="00D02E4F"/>
    <w:rsid w:val="00D21500"/>
    <w:rsid w:val="00D268E9"/>
    <w:rsid w:val="00D36E9B"/>
    <w:rsid w:val="00D37ACF"/>
    <w:rsid w:val="00D65BD9"/>
    <w:rsid w:val="00D67399"/>
    <w:rsid w:val="00D735DA"/>
    <w:rsid w:val="00D80A6B"/>
    <w:rsid w:val="00D9319A"/>
    <w:rsid w:val="00D9384C"/>
    <w:rsid w:val="00D9551A"/>
    <w:rsid w:val="00D96E78"/>
    <w:rsid w:val="00DA293D"/>
    <w:rsid w:val="00DA4627"/>
    <w:rsid w:val="00DC3071"/>
    <w:rsid w:val="00DD0755"/>
    <w:rsid w:val="00DD5E84"/>
    <w:rsid w:val="00DD70B6"/>
    <w:rsid w:val="00DE638C"/>
    <w:rsid w:val="00E02BA0"/>
    <w:rsid w:val="00E25036"/>
    <w:rsid w:val="00E34BE2"/>
    <w:rsid w:val="00E36CBB"/>
    <w:rsid w:val="00E37A97"/>
    <w:rsid w:val="00E469E4"/>
    <w:rsid w:val="00E5743B"/>
    <w:rsid w:val="00E76097"/>
    <w:rsid w:val="00E80D4B"/>
    <w:rsid w:val="00E92F20"/>
    <w:rsid w:val="00EB3A4D"/>
    <w:rsid w:val="00EB7F19"/>
    <w:rsid w:val="00ED0EBE"/>
    <w:rsid w:val="00ED5E3E"/>
    <w:rsid w:val="00EE24D0"/>
    <w:rsid w:val="00F01FF7"/>
    <w:rsid w:val="00F26209"/>
    <w:rsid w:val="00F354CC"/>
    <w:rsid w:val="00F3620E"/>
    <w:rsid w:val="00F56C3C"/>
    <w:rsid w:val="00F806E0"/>
    <w:rsid w:val="00F8309F"/>
    <w:rsid w:val="00FA1D05"/>
    <w:rsid w:val="00FC0474"/>
    <w:rsid w:val="00FC5270"/>
    <w:rsid w:val="00FD36BD"/>
    <w:rsid w:val="00FD4A6D"/>
    <w:rsid w:val="00FE6236"/>
    <w:rsid w:val="00FF7FC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A66AA"/>
  <w15:chartTrackingRefBased/>
  <w15:docId w15:val="{DBE53EF4-32FC-4BCD-995A-C156BF7E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e"/>
    <w:rsid w:val="00E92F20"/>
  </w:style>
  <w:style w:type="paragraph" w:styleId="Titre1">
    <w:name w:val="heading 1"/>
    <w:basedOn w:val="Normal"/>
    <w:next w:val="Normal"/>
    <w:link w:val="Titre1Car"/>
    <w:uiPriority w:val="9"/>
    <w:rsid w:val="007A12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C573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B702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liases w:val="Concerne"/>
    <w:uiPriority w:val="1"/>
    <w:rsid w:val="000E08DE"/>
    <w:pPr>
      <w:spacing w:after="0" w:line="240" w:lineRule="auto"/>
    </w:pPr>
    <w:rPr>
      <w:rFonts w:ascii="Galano Grotesque Alt SemiBold" w:hAnsi="Galano Grotesque Alt SemiBold"/>
      <w:sz w:val="19"/>
    </w:rPr>
  </w:style>
  <w:style w:type="paragraph" w:customStyle="1" w:styleId="Adresse">
    <w:name w:val="Adresse"/>
    <w:basedOn w:val="Sansinterligne"/>
    <w:link w:val="AdresseCar"/>
    <w:rsid w:val="0065473A"/>
    <w:rPr>
      <w:rFonts w:ascii="Noto Sans JP" w:hAnsi="Noto Sans JP"/>
      <w:sz w:val="20"/>
    </w:rPr>
  </w:style>
  <w:style w:type="character" w:customStyle="1" w:styleId="AdresseCar">
    <w:name w:val="Adresse Car"/>
    <w:basedOn w:val="Policepardfaut"/>
    <w:link w:val="Adresse"/>
    <w:rsid w:val="0065473A"/>
    <w:rPr>
      <w:rFonts w:ascii="Noto Sans JP" w:hAnsi="Noto Sans JP"/>
      <w:sz w:val="20"/>
    </w:rPr>
  </w:style>
  <w:style w:type="paragraph" w:customStyle="1" w:styleId="Concerneelite">
    <w:name w:val="Concerne_elite"/>
    <w:basedOn w:val="Paragraphedeliste"/>
    <w:link w:val="ConcerneeliteCar"/>
    <w:rsid w:val="0065473A"/>
    <w:pPr>
      <w:ind w:left="284"/>
    </w:pPr>
    <w:rPr>
      <w:rFonts w:ascii="Noto Serif JP Black" w:hAnsi="Noto Serif JP Black"/>
    </w:rPr>
  </w:style>
  <w:style w:type="character" w:customStyle="1" w:styleId="ConcerneeliteCar">
    <w:name w:val="Concerne_elite Car"/>
    <w:basedOn w:val="ParagraphedelisteCar"/>
    <w:link w:val="Concerneelite"/>
    <w:rsid w:val="0065473A"/>
    <w:rPr>
      <w:rFonts w:ascii="Noto Serif JP Black" w:hAnsi="Noto Serif JP Black"/>
      <w:sz w:val="18"/>
    </w:rPr>
  </w:style>
  <w:style w:type="paragraph" w:styleId="Paragraphedeliste">
    <w:name w:val="List Paragraph"/>
    <w:aliases w:val="Paragraphe Elite"/>
    <w:basedOn w:val="Normal"/>
    <w:link w:val="ParagraphedelisteCar"/>
    <w:uiPriority w:val="34"/>
    <w:rsid w:val="0065473A"/>
    <w:pPr>
      <w:ind w:left="720"/>
      <w:contextualSpacing/>
      <w:jc w:val="both"/>
    </w:pPr>
    <w:rPr>
      <w:rFonts w:ascii="Noto Sans JP" w:hAnsi="Noto Sans JP"/>
      <w:sz w:val="18"/>
    </w:rPr>
  </w:style>
  <w:style w:type="paragraph" w:customStyle="1" w:styleId="PieddepageElite">
    <w:name w:val="Pied de page_Elite"/>
    <w:basedOn w:val="Normal"/>
    <w:link w:val="PieddepageEliteCar"/>
    <w:rsid w:val="0065473A"/>
    <w:pPr>
      <w:spacing w:after="0" w:line="240" w:lineRule="auto"/>
    </w:pPr>
    <w:rPr>
      <w:rFonts w:ascii="Noto Sans JP Light" w:hAnsi="Noto Sans JP Light"/>
      <w:color w:val="760006"/>
      <w:sz w:val="17"/>
    </w:rPr>
  </w:style>
  <w:style w:type="character" w:customStyle="1" w:styleId="PieddepageEliteCar">
    <w:name w:val="Pied de page_Elite Car"/>
    <w:basedOn w:val="Policepardfaut"/>
    <w:link w:val="PieddepageElite"/>
    <w:rsid w:val="0065473A"/>
    <w:rPr>
      <w:rFonts w:ascii="Noto Sans JP Light" w:hAnsi="Noto Sans JP Light"/>
      <w:color w:val="760006"/>
      <w:sz w:val="17"/>
    </w:rPr>
  </w:style>
  <w:style w:type="character" w:customStyle="1" w:styleId="ParagraphedelisteCar">
    <w:name w:val="Paragraphe de liste Car"/>
    <w:aliases w:val="Paragraphe Elite Car"/>
    <w:basedOn w:val="Policepardfaut"/>
    <w:link w:val="Paragraphedeliste"/>
    <w:uiPriority w:val="34"/>
    <w:rsid w:val="0065473A"/>
    <w:rPr>
      <w:rFonts w:ascii="Noto Sans JP" w:hAnsi="Noto Sans JP"/>
      <w:sz w:val="18"/>
    </w:rPr>
  </w:style>
  <w:style w:type="paragraph" w:styleId="En-tte">
    <w:name w:val="header"/>
    <w:basedOn w:val="Normal"/>
    <w:link w:val="En-tteCar"/>
    <w:uiPriority w:val="99"/>
    <w:unhideWhenUsed/>
    <w:rsid w:val="0099042D"/>
    <w:pPr>
      <w:tabs>
        <w:tab w:val="center" w:pos="4536"/>
        <w:tab w:val="right" w:pos="9072"/>
      </w:tabs>
      <w:spacing w:after="0" w:line="240" w:lineRule="auto"/>
    </w:pPr>
  </w:style>
  <w:style w:type="character" w:customStyle="1" w:styleId="En-tteCar">
    <w:name w:val="En-tête Car"/>
    <w:basedOn w:val="Policepardfaut"/>
    <w:link w:val="En-tte"/>
    <w:uiPriority w:val="99"/>
    <w:rsid w:val="0099042D"/>
    <w:rPr>
      <w:rFonts w:ascii="Vaud" w:hAnsi="Vaud"/>
      <w:sz w:val="19"/>
    </w:rPr>
  </w:style>
  <w:style w:type="paragraph" w:styleId="Pieddepage">
    <w:name w:val="footer"/>
    <w:basedOn w:val="Normal"/>
    <w:link w:val="PieddepageCar"/>
    <w:uiPriority w:val="99"/>
    <w:unhideWhenUsed/>
    <w:rsid w:val="009904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9042D"/>
    <w:rPr>
      <w:rFonts w:ascii="Vaud" w:hAnsi="Vaud"/>
      <w:sz w:val="19"/>
    </w:rPr>
  </w:style>
  <w:style w:type="paragraph" w:customStyle="1" w:styleId="07En-tteTitre2">
    <w:name w:val="07_En-tête: Titre 2"/>
    <w:basedOn w:val="En-tte"/>
    <w:link w:val="07En-tteTitre2Car"/>
    <w:rsid w:val="000264BE"/>
    <w:pPr>
      <w:ind w:left="426"/>
    </w:pPr>
    <w:rPr>
      <w:caps/>
      <w:szCs w:val="20"/>
    </w:rPr>
  </w:style>
  <w:style w:type="paragraph" w:customStyle="1" w:styleId="06En-Ttetitre1">
    <w:name w:val="06_En-Tête: titre 1"/>
    <w:basedOn w:val="07En-tteTitre2"/>
    <w:link w:val="06En-Ttetitre1Car"/>
    <w:rsid w:val="000264BE"/>
    <w:rPr>
      <w:rFonts w:asciiTheme="majorHAnsi" w:hAnsiTheme="majorHAnsi"/>
      <w:caps w:val="0"/>
      <w:sz w:val="32"/>
      <w:szCs w:val="32"/>
    </w:rPr>
  </w:style>
  <w:style w:type="character" w:customStyle="1" w:styleId="07En-tteTitre2Car">
    <w:name w:val="07_En-tête: Titre 2 Car"/>
    <w:basedOn w:val="En-tteCar"/>
    <w:link w:val="07En-tteTitre2"/>
    <w:rsid w:val="000264BE"/>
    <w:rPr>
      <w:rFonts w:ascii="Vaud" w:hAnsi="Vaud"/>
      <w:caps/>
      <w:sz w:val="20"/>
      <w:szCs w:val="20"/>
    </w:rPr>
  </w:style>
  <w:style w:type="character" w:styleId="Textedelespacerserv">
    <w:name w:val="Placeholder Text"/>
    <w:basedOn w:val="Policepardfaut"/>
    <w:uiPriority w:val="99"/>
    <w:semiHidden/>
    <w:rsid w:val="000264BE"/>
    <w:rPr>
      <w:color w:val="808080"/>
    </w:rPr>
  </w:style>
  <w:style w:type="character" w:customStyle="1" w:styleId="06En-Ttetitre1Car">
    <w:name w:val="06_En-Tête: titre 1 Car"/>
    <w:basedOn w:val="07En-tteTitre2Car"/>
    <w:link w:val="06En-Ttetitre1"/>
    <w:rsid w:val="000264BE"/>
    <w:rPr>
      <w:rFonts w:asciiTheme="majorHAnsi" w:hAnsiTheme="majorHAnsi"/>
      <w:caps w:val="0"/>
      <w:sz w:val="32"/>
      <w:szCs w:val="32"/>
    </w:rPr>
  </w:style>
  <w:style w:type="table" w:styleId="Grilledutableau">
    <w:name w:val="Table Grid"/>
    <w:aliases w:val="Tableau - ALTIS"/>
    <w:basedOn w:val="TableauNormal"/>
    <w:uiPriority w:val="59"/>
    <w:rsid w:val="009C2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ajorHAnsi" w:hAnsiTheme="majorHAnsi"/>
        <w:color w:val="FFFFFF" w:themeColor="background1"/>
        <w:sz w:val="22"/>
      </w:rPr>
      <w:tblPr/>
      <w:tcPr>
        <w:shd w:val="clear" w:color="auto" w:fill="878786"/>
      </w:tcPr>
    </w:tblStylePr>
  </w:style>
  <w:style w:type="table" w:styleId="Tableausimple1">
    <w:name w:val="Plain Table 1"/>
    <w:basedOn w:val="TableauNormal"/>
    <w:uiPriority w:val="41"/>
    <w:rsid w:val="00EB3A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LTIS-Tableau">
    <w:name w:val="ALTIS - Tableau"/>
    <w:basedOn w:val="TableauNormal"/>
    <w:uiPriority w:val="99"/>
    <w:rsid w:val="009C26D9"/>
    <w:pPr>
      <w:spacing w:after="0" w:line="240" w:lineRule="auto"/>
    </w:pPr>
    <w:tblPr>
      <w:tblBorders>
        <w:bottom w:val="single" w:sz="2" w:space="0" w:color="auto"/>
        <w:insideH w:val="single" w:sz="2" w:space="0" w:color="auto"/>
      </w:tblBorders>
    </w:tblPr>
    <w:tcPr>
      <w:vAlign w:val="center"/>
    </w:tcPr>
    <w:tblStylePr w:type="firstRow">
      <w:rPr>
        <w:rFonts w:asciiTheme="majorHAnsi" w:hAnsiTheme="majorHAnsi"/>
        <w:color w:val="FFFFFF" w:themeColor="background1"/>
        <w:sz w:val="22"/>
      </w:rPr>
      <w:tblPr/>
      <w:tcPr>
        <w:shd w:val="clear" w:color="auto" w:fill="878786"/>
      </w:tcPr>
    </w:tblStylePr>
  </w:style>
  <w:style w:type="paragraph" w:customStyle="1" w:styleId="01titre">
    <w:name w:val="01_titre"/>
    <w:basedOn w:val="Normal"/>
    <w:next w:val="03paragraphe"/>
    <w:link w:val="01titreCar"/>
    <w:autoRedefine/>
    <w:rsid w:val="004A38D2"/>
    <w:pPr>
      <w:numPr>
        <w:numId w:val="5"/>
      </w:numPr>
      <w:spacing w:before="720" w:after="240"/>
      <w:ind w:left="142" w:hanging="142"/>
    </w:pPr>
    <w:rPr>
      <w:b/>
      <w:bCs/>
      <w:sz w:val="32"/>
      <w:szCs w:val="32"/>
    </w:rPr>
  </w:style>
  <w:style w:type="paragraph" w:customStyle="1" w:styleId="0211Titre2">
    <w:name w:val="02_1.1Titre 2"/>
    <w:basedOn w:val="Normal"/>
    <w:link w:val="0211Titre2Car"/>
    <w:rsid w:val="004A38D2"/>
    <w:pPr>
      <w:spacing w:before="480" w:after="240"/>
    </w:pPr>
    <w:rPr>
      <w:rFonts w:ascii="Roboto bold" w:hAnsi="Roboto bold"/>
      <w:szCs w:val="20"/>
    </w:rPr>
  </w:style>
  <w:style w:type="character" w:customStyle="1" w:styleId="01titreCar">
    <w:name w:val="01_titre Car"/>
    <w:basedOn w:val="Policepardfaut"/>
    <w:link w:val="01titre"/>
    <w:rsid w:val="004A38D2"/>
    <w:rPr>
      <w:b/>
      <w:bCs/>
      <w:sz w:val="32"/>
      <w:szCs w:val="32"/>
    </w:rPr>
  </w:style>
  <w:style w:type="paragraph" w:customStyle="1" w:styleId="03paragraphe">
    <w:name w:val="03_paragraphe"/>
    <w:basedOn w:val="Normal"/>
    <w:link w:val="03paragrapheCar"/>
    <w:qFormat/>
    <w:rsid w:val="00B007E3"/>
    <w:pPr>
      <w:jc w:val="both"/>
    </w:pPr>
    <w:rPr>
      <w:szCs w:val="20"/>
    </w:rPr>
  </w:style>
  <w:style w:type="character" w:customStyle="1" w:styleId="0211Titre2Car">
    <w:name w:val="02_1.1Titre 2 Car"/>
    <w:basedOn w:val="Policepardfaut"/>
    <w:link w:val="0211Titre2"/>
    <w:rsid w:val="00E34BE2"/>
    <w:rPr>
      <w:rFonts w:ascii="Roboto bold" w:hAnsi="Roboto bold"/>
      <w:szCs w:val="20"/>
    </w:rPr>
  </w:style>
  <w:style w:type="paragraph" w:styleId="TM1">
    <w:name w:val="toc 1"/>
    <w:basedOn w:val="01titre"/>
    <w:next w:val="Normal"/>
    <w:autoRedefine/>
    <w:uiPriority w:val="39"/>
    <w:unhideWhenUsed/>
    <w:rsid w:val="008F32A8"/>
    <w:pPr>
      <w:numPr>
        <w:numId w:val="0"/>
      </w:numPr>
      <w:tabs>
        <w:tab w:val="left" w:pos="600"/>
        <w:tab w:val="right" w:leader="dot" w:pos="9060"/>
      </w:tabs>
      <w:spacing w:before="240" w:after="120"/>
    </w:pPr>
    <w:rPr>
      <w:rFonts w:ascii="Roboto bold" w:hAnsi="Roboto bold"/>
      <w:b w:val="0"/>
      <w:bCs w:val="0"/>
      <w:sz w:val="28"/>
      <w:szCs w:val="20"/>
    </w:rPr>
  </w:style>
  <w:style w:type="character" w:customStyle="1" w:styleId="03paragrapheCar">
    <w:name w:val="03_paragraphe Car"/>
    <w:basedOn w:val="Policepardfaut"/>
    <w:link w:val="03paragraphe"/>
    <w:rsid w:val="00B007E3"/>
    <w:rPr>
      <w:szCs w:val="20"/>
    </w:rPr>
  </w:style>
  <w:style w:type="paragraph" w:styleId="TM2">
    <w:name w:val="toc 2"/>
    <w:basedOn w:val="0211Titre2"/>
    <w:next w:val="Normal"/>
    <w:autoRedefine/>
    <w:uiPriority w:val="39"/>
    <w:unhideWhenUsed/>
    <w:rsid w:val="008F32A8"/>
    <w:pPr>
      <w:tabs>
        <w:tab w:val="left" w:pos="800"/>
        <w:tab w:val="right" w:leader="dot" w:pos="9060"/>
      </w:tabs>
      <w:spacing w:before="120" w:after="0"/>
      <w:ind w:left="200"/>
    </w:pPr>
    <w:rPr>
      <w:iCs/>
      <w:sz w:val="22"/>
    </w:rPr>
  </w:style>
  <w:style w:type="paragraph" w:styleId="TM3">
    <w:name w:val="toc 3"/>
    <w:basedOn w:val="Normal"/>
    <w:next w:val="Normal"/>
    <w:autoRedefine/>
    <w:uiPriority w:val="39"/>
    <w:unhideWhenUsed/>
    <w:rsid w:val="00C2006C"/>
    <w:pPr>
      <w:spacing w:after="0"/>
      <w:ind w:left="400"/>
    </w:pPr>
    <w:rPr>
      <w:szCs w:val="20"/>
    </w:rPr>
  </w:style>
  <w:style w:type="paragraph" w:styleId="TM4">
    <w:name w:val="toc 4"/>
    <w:basedOn w:val="Normal"/>
    <w:next w:val="Normal"/>
    <w:autoRedefine/>
    <w:uiPriority w:val="39"/>
    <w:unhideWhenUsed/>
    <w:rsid w:val="00C2006C"/>
    <w:pPr>
      <w:spacing w:after="0"/>
      <w:ind w:left="600"/>
    </w:pPr>
    <w:rPr>
      <w:szCs w:val="20"/>
    </w:rPr>
  </w:style>
  <w:style w:type="paragraph" w:styleId="TM5">
    <w:name w:val="toc 5"/>
    <w:basedOn w:val="Normal"/>
    <w:next w:val="Normal"/>
    <w:autoRedefine/>
    <w:uiPriority w:val="39"/>
    <w:unhideWhenUsed/>
    <w:rsid w:val="00C2006C"/>
    <w:pPr>
      <w:spacing w:after="0"/>
      <w:ind w:left="800"/>
    </w:pPr>
    <w:rPr>
      <w:szCs w:val="20"/>
    </w:rPr>
  </w:style>
  <w:style w:type="paragraph" w:styleId="TM6">
    <w:name w:val="toc 6"/>
    <w:basedOn w:val="Normal"/>
    <w:next w:val="Normal"/>
    <w:autoRedefine/>
    <w:uiPriority w:val="39"/>
    <w:unhideWhenUsed/>
    <w:rsid w:val="00C2006C"/>
    <w:pPr>
      <w:spacing w:after="0"/>
      <w:ind w:left="1000"/>
    </w:pPr>
    <w:rPr>
      <w:szCs w:val="20"/>
    </w:rPr>
  </w:style>
  <w:style w:type="paragraph" w:styleId="TM7">
    <w:name w:val="toc 7"/>
    <w:basedOn w:val="Normal"/>
    <w:next w:val="Normal"/>
    <w:autoRedefine/>
    <w:uiPriority w:val="39"/>
    <w:unhideWhenUsed/>
    <w:rsid w:val="00C2006C"/>
    <w:pPr>
      <w:spacing w:after="0"/>
      <w:ind w:left="1200"/>
    </w:pPr>
    <w:rPr>
      <w:szCs w:val="20"/>
    </w:rPr>
  </w:style>
  <w:style w:type="paragraph" w:styleId="TM8">
    <w:name w:val="toc 8"/>
    <w:basedOn w:val="Normal"/>
    <w:next w:val="Normal"/>
    <w:autoRedefine/>
    <w:uiPriority w:val="39"/>
    <w:unhideWhenUsed/>
    <w:rsid w:val="00C2006C"/>
    <w:pPr>
      <w:spacing w:after="0"/>
      <w:ind w:left="1400"/>
    </w:pPr>
    <w:rPr>
      <w:szCs w:val="20"/>
    </w:rPr>
  </w:style>
  <w:style w:type="paragraph" w:styleId="TM9">
    <w:name w:val="toc 9"/>
    <w:basedOn w:val="Normal"/>
    <w:next w:val="Normal"/>
    <w:autoRedefine/>
    <w:uiPriority w:val="39"/>
    <w:unhideWhenUsed/>
    <w:rsid w:val="00C2006C"/>
    <w:pPr>
      <w:spacing w:after="0"/>
      <w:ind w:left="1600"/>
    </w:pPr>
    <w:rPr>
      <w:szCs w:val="20"/>
    </w:rPr>
  </w:style>
  <w:style w:type="paragraph" w:customStyle="1" w:styleId="04Objetlettre">
    <w:name w:val="04_Objet_lettre"/>
    <w:basedOn w:val="Normal"/>
    <w:link w:val="04ObjetlettreCar"/>
    <w:rsid w:val="00A809A6"/>
    <w:pPr>
      <w:tabs>
        <w:tab w:val="left" w:pos="1985"/>
      </w:tabs>
    </w:pPr>
    <w:rPr>
      <w:rFonts w:asciiTheme="majorHAnsi" w:hAnsiTheme="majorHAnsi" w:cs="Roboto-Regular"/>
      <w:sz w:val="22"/>
    </w:rPr>
  </w:style>
  <w:style w:type="character" w:customStyle="1" w:styleId="04ObjetlettreCar">
    <w:name w:val="04_Objet_lettre Car"/>
    <w:basedOn w:val="Policepardfaut"/>
    <w:link w:val="04Objetlettre"/>
    <w:rsid w:val="00A809A6"/>
    <w:rPr>
      <w:rFonts w:asciiTheme="majorHAnsi" w:hAnsiTheme="majorHAnsi" w:cs="Roboto-Regular"/>
      <w:sz w:val="22"/>
    </w:rPr>
  </w:style>
  <w:style w:type="character" w:customStyle="1" w:styleId="Texte1Car">
    <w:name w:val="Texte1 Car"/>
    <w:basedOn w:val="Policepardfaut"/>
    <w:link w:val="Texte1"/>
    <w:locked/>
    <w:rsid w:val="00935D4A"/>
    <w:rPr>
      <w:rFonts w:ascii="Roboto Condensed" w:hAnsi="Roboto Condensed" w:cs="Apple Chancery"/>
      <w:color w:val="5C7F92"/>
      <w:lang w:val="fr-FR" w:eastAsia="fr-FR"/>
    </w:rPr>
  </w:style>
  <w:style w:type="paragraph" w:customStyle="1" w:styleId="Texte1">
    <w:name w:val="Texte1"/>
    <w:basedOn w:val="Normal"/>
    <w:link w:val="Texte1Car"/>
    <w:rsid w:val="00935D4A"/>
    <w:pPr>
      <w:tabs>
        <w:tab w:val="left" w:pos="2268"/>
      </w:tabs>
      <w:spacing w:after="0" w:line="240" w:lineRule="auto"/>
      <w:jc w:val="both"/>
    </w:pPr>
    <w:rPr>
      <w:rFonts w:ascii="Roboto Condensed" w:hAnsi="Roboto Condensed" w:cs="Apple Chancery"/>
      <w:color w:val="5C7F92"/>
      <w:lang w:val="fr-FR" w:eastAsia="fr-FR"/>
    </w:rPr>
  </w:style>
  <w:style w:type="paragraph" w:customStyle="1" w:styleId="Texte2">
    <w:name w:val="Texte2"/>
    <w:basedOn w:val="Normal"/>
    <w:rsid w:val="00935D4A"/>
    <w:pPr>
      <w:tabs>
        <w:tab w:val="left" w:pos="5040"/>
      </w:tabs>
      <w:spacing w:after="0" w:line="240" w:lineRule="auto"/>
      <w:ind w:left="709"/>
      <w:contextualSpacing/>
      <w:jc w:val="both"/>
    </w:pPr>
    <w:rPr>
      <w:rFonts w:ascii="Roboto Condensed" w:eastAsia="Times New Roman" w:hAnsi="Roboto Condensed" w:cs="Apple Chancery"/>
      <w:color w:val="5C7F92"/>
      <w:lang w:eastAsia="fr-FR"/>
    </w:rPr>
  </w:style>
  <w:style w:type="paragraph" w:customStyle="1" w:styleId="05Tableautitre1">
    <w:name w:val="05_Tableau_titre1"/>
    <w:basedOn w:val="Normal"/>
    <w:link w:val="05Tableautitre1Car"/>
    <w:qFormat/>
    <w:rsid w:val="00935D4A"/>
    <w:pPr>
      <w:spacing w:after="0" w:line="240" w:lineRule="auto"/>
    </w:pPr>
    <w:rPr>
      <w:rFonts w:asciiTheme="majorHAnsi" w:hAnsiTheme="majorHAnsi"/>
      <w:color w:val="FFFFFF" w:themeColor="background1"/>
      <w:sz w:val="22"/>
    </w:rPr>
  </w:style>
  <w:style w:type="character" w:customStyle="1" w:styleId="05Tableautitre1Car">
    <w:name w:val="05_Tableau_titre1 Car"/>
    <w:basedOn w:val="Policepardfaut"/>
    <w:link w:val="05Tableautitre1"/>
    <w:rsid w:val="00935D4A"/>
    <w:rPr>
      <w:rFonts w:asciiTheme="majorHAnsi" w:hAnsiTheme="majorHAnsi"/>
      <w:color w:val="FFFFFF" w:themeColor="background1"/>
      <w:sz w:val="22"/>
    </w:rPr>
  </w:style>
  <w:style w:type="character" w:styleId="Lienhypertexte">
    <w:name w:val="Hyperlink"/>
    <w:basedOn w:val="Policepardfaut"/>
    <w:uiPriority w:val="99"/>
    <w:unhideWhenUsed/>
    <w:rsid w:val="00607051"/>
    <w:rPr>
      <w:color w:val="0563C1" w:themeColor="hyperlink"/>
      <w:u w:val="single"/>
    </w:rPr>
  </w:style>
  <w:style w:type="character" w:styleId="Mentionnonrsolue">
    <w:name w:val="Unresolved Mention"/>
    <w:basedOn w:val="Policepardfaut"/>
    <w:uiPriority w:val="99"/>
    <w:semiHidden/>
    <w:unhideWhenUsed/>
    <w:rsid w:val="00607051"/>
    <w:rPr>
      <w:color w:val="605E5C"/>
      <w:shd w:val="clear" w:color="auto" w:fill="E1DFDD"/>
    </w:rPr>
  </w:style>
  <w:style w:type="character" w:customStyle="1" w:styleId="Titre1Car">
    <w:name w:val="Titre 1 Car"/>
    <w:basedOn w:val="Policepardfaut"/>
    <w:link w:val="Titre1"/>
    <w:uiPriority w:val="9"/>
    <w:rsid w:val="007A12AE"/>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7A12AE"/>
    <w:pPr>
      <w:outlineLvl w:val="9"/>
    </w:pPr>
    <w:rPr>
      <w:lang w:eastAsia="fr-CH"/>
    </w:rPr>
  </w:style>
  <w:style w:type="paragraph" w:styleId="NormalWeb">
    <w:name w:val="Normal (Web)"/>
    <w:basedOn w:val="Normal"/>
    <w:uiPriority w:val="99"/>
    <w:unhideWhenUsed/>
    <w:rsid w:val="007A12AE"/>
    <w:pPr>
      <w:spacing w:before="100" w:beforeAutospacing="1" w:after="100" w:afterAutospacing="1" w:line="240" w:lineRule="auto"/>
    </w:pPr>
    <w:rPr>
      <w:rFonts w:ascii="Times New Roman" w:eastAsia="Times New Roman" w:hAnsi="Times New Roman" w:cs="Times New Roman"/>
      <w:sz w:val="24"/>
      <w:szCs w:val="24"/>
      <w:lang w:eastAsia="fr-CH"/>
    </w:rPr>
  </w:style>
  <w:style w:type="paragraph" w:customStyle="1" w:styleId="Texte1ALTIS">
    <w:name w:val="Texte1 ALTIS"/>
    <w:basedOn w:val="Normal"/>
    <w:link w:val="Texte1ALTISCar"/>
    <w:rsid w:val="00432755"/>
    <w:pPr>
      <w:spacing w:after="0" w:line="240" w:lineRule="auto"/>
      <w:jc w:val="both"/>
    </w:pPr>
    <w:rPr>
      <w:rFonts w:ascii="Roboto Condensed" w:hAnsi="Roboto Condensed"/>
      <w:color w:val="44546A" w:themeColor="text2"/>
      <w:szCs w:val="20"/>
    </w:rPr>
  </w:style>
  <w:style w:type="character" w:customStyle="1" w:styleId="Texte1ALTISCar">
    <w:name w:val="Texte1 ALTIS Car"/>
    <w:basedOn w:val="Policepardfaut"/>
    <w:link w:val="Texte1ALTIS"/>
    <w:rsid w:val="00432755"/>
    <w:rPr>
      <w:rFonts w:ascii="Roboto Condensed" w:hAnsi="Roboto Condensed"/>
      <w:color w:val="44546A" w:themeColor="text2"/>
      <w:szCs w:val="20"/>
    </w:rPr>
  </w:style>
  <w:style w:type="paragraph" w:customStyle="1" w:styleId="01Chapitre1">
    <w:name w:val="01_Chapitre1"/>
    <w:basedOn w:val="02Chapitre2"/>
    <w:next w:val="Texte2"/>
    <w:link w:val="01Chapitre1Car"/>
    <w:autoRedefine/>
    <w:qFormat/>
    <w:rsid w:val="00184B25"/>
    <w:pPr>
      <w:numPr>
        <w:ilvl w:val="0"/>
        <w:numId w:val="0"/>
      </w:numPr>
      <w:tabs>
        <w:tab w:val="clear" w:pos="5040"/>
      </w:tabs>
      <w:spacing w:before="120"/>
    </w:pPr>
    <w:rPr>
      <w:rFonts w:asciiTheme="minorHAnsi" w:hAnsiTheme="minorHAnsi"/>
      <w:b w:val="0"/>
      <w:i/>
      <w:iCs/>
      <w:sz w:val="16"/>
      <w:szCs w:val="16"/>
    </w:rPr>
  </w:style>
  <w:style w:type="paragraph" w:customStyle="1" w:styleId="02Chapitre2">
    <w:name w:val="02_Chapitre2"/>
    <w:basedOn w:val="Titre2"/>
    <w:qFormat/>
    <w:rsid w:val="00CC1C1A"/>
    <w:pPr>
      <w:numPr>
        <w:ilvl w:val="1"/>
        <w:numId w:val="11"/>
      </w:numPr>
      <w:tabs>
        <w:tab w:val="left" w:pos="5040"/>
      </w:tabs>
      <w:spacing w:before="240" w:after="120" w:line="240" w:lineRule="auto"/>
    </w:pPr>
    <w:rPr>
      <w:rFonts w:ascii="Roboto bold" w:eastAsia="Times New Roman" w:hAnsi="Roboto bold" w:cs="Apple Chancery"/>
      <w:b/>
      <w:color w:val="auto"/>
      <w:sz w:val="22"/>
      <w:szCs w:val="20"/>
      <w:lang w:eastAsia="fr-FR"/>
    </w:rPr>
  </w:style>
  <w:style w:type="paragraph" w:customStyle="1" w:styleId="03Chapitre3">
    <w:name w:val="03_Chapitre3"/>
    <w:basedOn w:val="Paragraphedeliste"/>
    <w:next w:val="Texte2"/>
    <w:qFormat/>
    <w:rsid w:val="00C573AC"/>
    <w:pPr>
      <w:numPr>
        <w:ilvl w:val="2"/>
        <w:numId w:val="11"/>
      </w:numPr>
      <w:tabs>
        <w:tab w:val="left" w:pos="5040"/>
      </w:tabs>
      <w:spacing w:after="0" w:line="240" w:lineRule="auto"/>
      <w:ind w:left="709" w:hanging="709"/>
    </w:pPr>
    <w:rPr>
      <w:rFonts w:ascii="Roboto bold" w:eastAsia="Times New Roman" w:hAnsi="Roboto bold" w:cs="Apple Chancery"/>
      <w:b/>
      <w:sz w:val="20"/>
      <w:szCs w:val="20"/>
      <w:lang w:eastAsia="fr-FR"/>
    </w:rPr>
  </w:style>
  <w:style w:type="character" w:customStyle="1" w:styleId="01Chapitre1Car">
    <w:name w:val="01_Chapitre1 Car"/>
    <w:basedOn w:val="Titre1Car"/>
    <w:link w:val="01Chapitre1"/>
    <w:rsid w:val="00184B25"/>
    <w:rPr>
      <w:rFonts w:asciiTheme="majorHAnsi" w:eastAsia="Times New Roman" w:hAnsiTheme="majorHAnsi" w:cs="Apple Chancery"/>
      <w:i/>
      <w:iCs/>
      <w:color w:val="2F5496" w:themeColor="accent1" w:themeShade="BF"/>
      <w:sz w:val="16"/>
      <w:szCs w:val="16"/>
      <w:lang w:eastAsia="fr-FR"/>
    </w:rPr>
  </w:style>
  <w:style w:type="character" w:customStyle="1" w:styleId="Titre3Car">
    <w:name w:val="Titre 3 Car"/>
    <w:basedOn w:val="Policepardfaut"/>
    <w:link w:val="Titre3"/>
    <w:uiPriority w:val="9"/>
    <w:semiHidden/>
    <w:rsid w:val="00B70291"/>
    <w:rPr>
      <w:rFonts w:asciiTheme="majorHAnsi" w:eastAsiaTheme="majorEastAsia" w:hAnsiTheme="majorHAnsi" w:cstheme="majorBidi"/>
      <w:color w:val="1F3763" w:themeColor="accent1" w:themeShade="7F"/>
      <w:sz w:val="24"/>
      <w:szCs w:val="24"/>
    </w:rPr>
  </w:style>
  <w:style w:type="character" w:customStyle="1" w:styleId="Titre2Car">
    <w:name w:val="Titre 2 Car"/>
    <w:basedOn w:val="Policepardfaut"/>
    <w:link w:val="Titre2"/>
    <w:uiPriority w:val="9"/>
    <w:semiHidden/>
    <w:rsid w:val="00C573AC"/>
    <w:rPr>
      <w:rFonts w:asciiTheme="majorHAnsi" w:eastAsiaTheme="majorEastAsia" w:hAnsiTheme="majorHAnsi" w:cstheme="majorBidi"/>
      <w:color w:val="2F5496" w:themeColor="accent1" w:themeShade="BF"/>
      <w:sz w:val="26"/>
      <w:szCs w:val="26"/>
    </w:rPr>
  </w:style>
  <w:style w:type="table" w:styleId="TableauGrille1Clair-Accentuation1">
    <w:name w:val="Grid Table 1 Light Accent 1"/>
    <w:basedOn w:val="TableauNormal"/>
    <w:uiPriority w:val="46"/>
    <w:rsid w:val="00A04EC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A04EC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ormaltextrun">
    <w:name w:val="normaltextrun"/>
    <w:basedOn w:val="Policepardfaut"/>
    <w:rsid w:val="00A04EC9"/>
  </w:style>
  <w:style w:type="character" w:customStyle="1" w:styleId="tabchar">
    <w:name w:val="tabchar"/>
    <w:basedOn w:val="Policepardfaut"/>
    <w:rsid w:val="00A04EC9"/>
  </w:style>
  <w:style w:type="character" w:styleId="Marquedecommentaire">
    <w:name w:val="annotation reference"/>
    <w:basedOn w:val="Policepardfaut"/>
    <w:uiPriority w:val="99"/>
    <w:semiHidden/>
    <w:unhideWhenUsed/>
    <w:rsid w:val="00486627"/>
    <w:rPr>
      <w:sz w:val="16"/>
      <w:szCs w:val="16"/>
    </w:rPr>
  </w:style>
  <w:style w:type="paragraph" w:styleId="Commentaire">
    <w:name w:val="annotation text"/>
    <w:basedOn w:val="Normal"/>
    <w:link w:val="CommentaireCar"/>
    <w:uiPriority w:val="99"/>
    <w:unhideWhenUsed/>
    <w:rsid w:val="00486627"/>
    <w:pPr>
      <w:spacing w:line="240" w:lineRule="auto"/>
    </w:pPr>
    <w:rPr>
      <w:szCs w:val="20"/>
    </w:rPr>
  </w:style>
  <w:style w:type="character" w:customStyle="1" w:styleId="CommentaireCar">
    <w:name w:val="Commentaire Car"/>
    <w:basedOn w:val="Policepardfaut"/>
    <w:link w:val="Commentaire"/>
    <w:uiPriority w:val="99"/>
    <w:rsid w:val="00486627"/>
    <w:rPr>
      <w:szCs w:val="20"/>
    </w:rPr>
  </w:style>
  <w:style w:type="paragraph" w:styleId="Objetducommentaire">
    <w:name w:val="annotation subject"/>
    <w:basedOn w:val="Commentaire"/>
    <w:next w:val="Commentaire"/>
    <w:link w:val="ObjetducommentaireCar"/>
    <w:uiPriority w:val="99"/>
    <w:semiHidden/>
    <w:unhideWhenUsed/>
    <w:rsid w:val="00486627"/>
    <w:rPr>
      <w:b/>
      <w:bCs/>
    </w:rPr>
  </w:style>
  <w:style w:type="character" w:customStyle="1" w:styleId="ObjetducommentaireCar">
    <w:name w:val="Objet du commentaire Car"/>
    <w:basedOn w:val="CommentaireCar"/>
    <w:link w:val="Objetducommentaire"/>
    <w:uiPriority w:val="99"/>
    <w:semiHidden/>
    <w:rsid w:val="00486627"/>
    <w:rPr>
      <w:b/>
      <w:bCs/>
      <w:szCs w:val="20"/>
    </w:rPr>
  </w:style>
  <w:style w:type="paragraph" w:customStyle="1" w:styleId="paragraph">
    <w:name w:val="paragraph"/>
    <w:basedOn w:val="Normal"/>
    <w:rsid w:val="00925AAF"/>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eop">
    <w:name w:val="eop"/>
    <w:basedOn w:val="Policepardfaut"/>
    <w:rsid w:val="00925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016">
      <w:bodyDiv w:val="1"/>
      <w:marLeft w:val="0"/>
      <w:marRight w:val="0"/>
      <w:marTop w:val="0"/>
      <w:marBottom w:val="0"/>
      <w:divBdr>
        <w:top w:val="none" w:sz="0" w:space="0" w:color="auto"/>
        <w:left w:val="none" w:sz="0" w:space="0" w:color="auto"/>
        <w:bottom w:val="none" w:sz="0" w:space="0" w:color="auto"/>
        <w:right w:val="none" w:sz="0" w:space="0" w:color="auto"/>
      </w:divBdr>
    </w:div>
    <w:div w:id="596914083">
      <w:bodyDiv w:val="1"/>
      <w:marLeft w:val="0"/>
      <w:marRight w:val="0"/>
      <w:marTop w:val="0"/>
      <w:marBottom w:val="0"/>
      <w:divBdr>
        <w:top w:val="none" w:sz="0" w:space="0" w:color="auto"/>
        <w:left w:val="none" w:sz="0" w:space="0" w:color="auto"/>
        <w:bottom w:val="none" w:sz="0" w:space="0" w:color="auto"/>
        <w:right w:val="none" w:sz="0" w:space="0" w:color="auto"/>
      </w:divBdr>
    </w:div>
    <w:div w:id="678628913">
      <w:bodyDiv w:val="1"/>
      <w:marLeft w:val="0"/>
      <w:marRight w:val="0"/>
      <w:marTop w:val="0"/>
      <w:marBottom w:val="0"/>
      <w:divBdr>
        <w:top w:val="none" w:sz="0" w:space="0" w:color="auto"/>
        <w:left w:val="none" w:sz="0" w:space="0" w:color="auto"/>
        <w:bottom w:val="none" w:sz="0" w:space="0" w:color="auto"/>
        <w:right w:val="none" w:sz="0" w:space="0" w:color="auto"/>
      </w:divBdr>
      <w:divsChild>
        <w:div w:id="343480329">
          <w:marLeft w:val="0"/>
          <w:marRight w:val="0"/>
          <w:marTop w:val="0"/>
          <w:marBottom w:val="0"/>
          <w:divBdr>
            <w:top w:val="none" w:sz="0" w:space="0" w:color="auto"/>
            <w:left w:val="none" w:sz="0" w:space="0" w:color="auto"/>
            <w:bottom w:val="none" w:sz="0" w:space="0" w:color="auto"/>
            <w:right w:val="none" w:sz="0" w:space="0" w:color="auto"/>
          </w:divBdr>
          <w:divsChild>
            <w:div w:id="1773741005">
              <w:marLeft w:val="0"/>
              <w:marRight w:val="0"/>
              <w:marTop w:val="0"/>
              <w:marBottom w:val="0"/>
              <w:divBdr>
                <w:top w:val="none" w:sz="0" w:space="0" w:color="auto"/>
                <w:left w:val="none" w:sz="0" w:space="0" w:color="auto"/>
                <w:bottom w:val="none" w:sz="0" w:space="0" w:color="auto"/>
                <w:right w:val="none" w:sz="0" w:space="0" w:color="auto"/>
              </w:divBdr>
            </w:div>
          </w:divsChild>
        </w:div>
        <w:div w:id="890072179">
          <w:marLeft w:val="0"/>
          <w:marRight w:val="0"/>
          <w:marTop w:val="0"/>
          <w:marBottom w:val="0"/>
          <w:divBdr>
            <w:top w:val="none" w:sz="0" w:space="0" w:color="auto"/>
            <w:left w:val="none" w:sz="0" w:space="0" w:color="auto"/>
            <w:bottom w:val="none" w:sz="0" w:space="0" w:color="auto"/>
            <w:right w:val="none" w:sz="0" w:space="0" w:color="auto"/>
          </w:divBdr>
          <w:divsChild>
            <w:div w:id="319970098">
              <w:marLeft w:val="0"/>
              <w:marRight w:val="0"/>
              <w:marTop w:val="0"/>
              <w:marBottom w:val="0"/>
              <w:divBdr>
                <w:top w:val="none" w:sz="0" w:space="0" w:color="auto"/>
                <w:left w:val="none" w:sz="0" w:space="0" w:color="auto"/>
                <w:bottom w:val="none" w:sz="0" w:space="0" w:color="auto"/>
                <w:right w:val="none" w:sz="0" w:space="0" w:color="auto"/>
              </w:divBdr>
            </w:div>
          </w:divsChild>
        </w:div>
        <w:div w:id="963383834">
          <w:marLeft w:val="0"/>
          <w:marRight w:val="0"/>
          <w:marTop w:val="0"/>
          <w:marBottom w:val="0"/>
          <w:divBdr>
            <w:top w:val="none" w:sz="0" w:space="0" w:color="auto"/>
            <w:left w:val="none" w:sz="0" w:space="0" w:color="auto"/>
            <w:bottom w:val="none" w:sz="0" w:space="0" w:color="auto"/>
            <w:right w:val="none" w:sz="0" w:space="0" w:color="auto"/>
          </w:divBdr>
          <w:divsChild>
            <w:div w:id="336541758">
              <w:marLeft w:val="0"/>
              <w:marRight w:val="0"/>
              <w:marTop w:val="0"/>
              <w:marBottom w:val="0"/>
              <w:divBdr>
                <w:top w:val="none" w:sz="0" w:space="0" w:color="auto"/>
                <w:left w:val="none" w:sz="0" w:space="0" w:color="auto"/>
                <w:bottom w:val="none" w:sz="0" w:space="0" w:color="auto"/>
                <w:right w:val="none" w:sz="0" w:space="0" w:color="auto"/>
              </w:divBdr>
            </w:div>
          </w:divsChild>
        </w:div>
        <w:div w:id="152111822">
          <w:marLeft w:val="0"/>
          <w:marRight w:val="0"/>
          <w:marTop w:val="0"/>
          <w:marBottom w:val="0"/>
          <w:divBdr>
            <w:top w:val="none" w:sz="0" w:space="0" w:color="auto"/>
            <w:left w:val="none" w:sz="0" w:space="0" w:color="auto"/>
            <w:bottom w:val="none" w:sz="0" w:space="0" w:color="auto"/>
            <w:right w:val="none" w:sz="0" w:space="0" w:color="auto"/>
          </w:divBdr>
          <w:divsChild>
            <w:div w:id="256065500">
              <w:marLeft w:val="0"/>
              <w:marRight w:val="0"/>
              <w:marTop w:val="0"/>
              <w:marBottom w:val="0"/>
              <w:divBdr>
                <w:top w:val="none" w:sz="0" w:space="0" w:color="auto"/>
                <w:left w:val="none" w:sz="0" w:space="0" w:color="auto"/>
                <w:bottom w:val="none" w:sz="0" w:space="0" w:color="auto"/>
                <w:right w:val="none" w:sz="0" w:space="0" w:color="auto"/>
              </w:divBdr>
            </w:div>
          </w:divsChild>
        </w:div>
        <w:div w:id="190346081">
          <w:marLeft w:val="0"/>
          <w:marRight w:val="0"/>
          <w:marTop w:val="0"/>
          <w:marBottom w:val="0"/>
          <w:divBdr>
            <w:top w:val="none" w:sz="0" w:space="0" w:color="auto"/>
            <w:left w:val="none" w:sz="0" w:space="0" w:color="auto"/>
            <w:bottom w:val="none" w:sz="0" w:space="0" w:color="auto"/>
            <w:right w:val="none" w:sz="0" w:space="0" w:color="auto"/>
          </w:divBdr>
          <w:divsChild>
            <w:div w:id="272901900">
              <w:marLeft w:val="0"/>
              <w:marRight w:val="0"/>
              <w:marTop w:val="0"/>
              <w:marBottom w:val="0"/>
              <w:divBdr>
                <w:top w:val="none" w:sz="0" w:space="0" w:color="auto"/>
                <w:left w:val="none" w:sz="0" w:space="0" w:color="auto"/>
                <w:bottom w:val="none" w:sz="0" w:space="0" w:color="auto"/>
                <w:right w:val="none" w:sz="0" w:space="0" w:color="auto"/>
              </w:divBdr>
            </w:div>
          </w:divsChild>
        </w:div>
        <w:div w:id="1835141588">
          <w:marLeft w:val="0"/>
          <w:marRight w:val="0"/>
          <w:marTop w:val="0"/>
          <w:marBottom w:val="0"/>
          <w:divBdr>
            <w:top w:val="none" w:sz="0" w:space="0" w:color="auto"/>
            <w:left w:val="none" w:sz="0" w:space="0" w:color="auto"/>
            <w:bottom w:val="none" w:sz="0" w:space="0" w:color="auto"/>
            <w:right w:val="none" w:sz="0" w:space="0" w:color="auto"/>
          </w:divBdr>
          <w:divsChild>
            <w:div w:id="104692013">
              <w:marLeft w:val="0"/>
              <w:marRight w:val="0"/>
              <w:marTop w:val="0"/>
              <w:marBottom w:val="0"/>
              <w:divBdr>
                <w:top w:val="none" w:sz="0" w:space="0" w:color="auto"/>
                <w:left w:val="none" w:sz="0" w:space="0" w:color="auto"/>
                <w:bottom w:val="none" w:sz="0" w:space="0" w:color="auto"/>
                <w:right w:val="none" w:sz="0" w:space="0" w:color="auto"/>
              </w:divBdr>
            </w:div>
          </w:divsChild>
        </w:div>
        <w:div w:id="420638486">
          <w:marLeft w:val="0"/>
          <w:marRight w:val="0"/>
          <w:marTop w:val="0"/>
          <w:marBottom w:val="0"/>
          <w:divBdr>
            <w:top w:val="none" w:sz="0" w:space="0" w:color="auto"/>
            <w:left w:val="none" w:sz="0" w:space="0" w:color="auto"/>
            <w:bottom w:val="none" w:sz="0" w:space="0" w:color="auto"/>
            <w:right w:val="none" w:sz="0" w:space="0" w:color="auto"/>
          </w:divBdr>
          <w:divsChild>
            <w:div w:id="252514839">
              <w:marLeft w:val="0"/>
              <w:marRight w:val="0"/>
              <w:marTop w:val="0"/>
              <w:marBottom w:val="0"/>
              <w:divBdr>
                <w:top w:val="none" w:sz="0" w:space="0" w:color="auto"/>
                <w:left w:val="none" w:sz="0" w:space="0" w:color="auto"/>
                <w:bottom w:val="none" w:sz="0" w:space="0" w:color="auto"/>
                <w:right w:val="none" w:sz="0" w:space="0" w:color="auto"/>
              </w:divBdr>
            </w:div>
          </w:divsChild>
        </w:div>
        <w:div w:id="122499671">
          <w:marLeft w:val="0"/>
          <w:marRight w:val="0"/>
          <w:marTop w:val="0"/>
          <w:marBottom w:val="0"/>
          <w:divBdr>
            <w:top w:val="none" w:sz="0" w:space="0" w:color="auto"/>
            <w:left w:val="none" w:sz="0" w:space="0" w:color="auto"/>
            <w:bottom w:val="none" w:sz="0" w:space="0" w:color="auto"/>
            <w:right w:val="none" w:sz="0" w:space="0" w:color="auto"/>
          </w:divBdr>
          <w:divsChild>
            <w:div w:id="990909842">
              <w:marLeft w:val="0"/>
              <w:marRight w:val="0"/>
              <w:marTop w:val="0"/>
              <w:marBottom w:val="0"/>
              <w:divBdr>
                <w:top w:val="none" w:sz="0" w:space="0" w:color="auto"/>
                <w:left w:val="none" w:sz="0" w:space="0" w:color="auto"/>
                <w:bottom w:val="none" w:sz="0" w:space="0" w:color="auto"/>
                <w:right w:val="none" w:sz="0" w:space="0" w:color="auto"/>
              </w:divBdr>
            </w:div>
          </w:divsChild>
        </w:div>
        <w:div w:id="1403605843">
          <w:marLeft w:val="0"/>
          <w:marRight w:val="0"/>
          <w:marTop w:val="0"/>
          <w:marBottom w:val="0"/>
          <w:divBdr>
            <w:top w:val="none" w:sz="0" w:space="0" w:color="auto"/>
            <w:left w:val="none" w:sz="0" w:space="0" w:color="auto"/>
            <w:bottom w:val="none" w:sz="0" w:space="0" w:color="auto"/>
            <w:right w:val="none" w:sz="0" w:space="0" w:color="auto"/>
          </w:divBdr>
          <w:divsChild>
            <w:div w:id="1471167000">
              <w:marLeft w:val="0"/>
              <w:marRight w:val="0"/>
              <w:marTop w:val="0"/>
              <w:marBottom w:val="0"/>
              <w:divBdr>
                <w:top w:val="none" w:sz="0" w:space="0" w:color="auto"/>
                <w:left w:val="none" w:sz="0" w:space="0" w:color="auto"/>
                <w:bottom w:val="none" w:sz="0" w:space="0" w:color="auto"/>
                <w:right w:val="none" w:sz="0" w:space="0" w:color="auto"/>
              </w:divBdr>
            </w:div>
          </w:divsChild>
        </w:div>
        <w:div w:id="1762095322">
          <w:marLeft w:val="0"/>
          <w:marRight w:val="0"/>
          <w:marTop w:val="0"/>
          <w:marBottom w:val="0"/>
          <w:divBdr>
            <w:top w:val="none" w:sz="0" w:space="0" w:color="auto"/>
            <w:left w:val="none" w:sz="0" w:space="0" w:color="auto"/>
            <w:bottom w:val="none" w:sz="0" w:space="0" w:color="auto"/>
            <w:right w:val="none" w:sz="0" w:space="0" w:color="auto"/>
          </w:divBdr>
          <w:divsChild>
            <w:div w:id="722875325">
              <w:marLeft w:val="0"/>
              <w:marRight w:val="0"/>
              <w:marTop w:val="0"/>
              <w:marBottom w:val="0"/>
              <w:divBdr>
                <w:top w:val="none" w:sz="0" w:space="0" w:color="auto"/>
                <w:left w:val="none" w:sz="0" w:space="0" w:color="auto"/>
                <w:bottom w:val="none" w:sz="0" w:space="0" w:color="auto"/>
                <w:right w:val="none" w:sz="0" w:space="0" w:color="auto"/>
              </w:divBdr>
            </w:div>
          </w:divsChild>
        </w:div>
        <w:div w:id="518587423">
          <w:marLeft w:val="0"/>
          <w:marRight w:val="0"/>
          <w:marTop w:val="0"/>
          <w:marBottom w:val="0"/>
          <w:divBdr>
            <w:top w:val="none" w:sz="0" w:space="0" w:color="auto"/>
            <w:left w:val="none" w:sz="0" w:space="0" w:color="auto"/>
            <w:bottom w:val="none" w:sz="0" w:space="0" w:color="auto"/>
            <w:right w:val="none" w:sz="0" w:space="0" w:color="auto"/>
          </w:divBdr>
          <w:divsChild>
            <w:div w:id="195848347">
              <w:marLeft w:val="0"/>
              <w:marRight w:val="0"/>
              <w:marTop w:val="0"/>
              <w:marBottom w:val="0"/>
              <w:divBdr>
                <w:top w:val="none" w:sz="0" w:space="0" w:color="auto"/>
                <w:left w:val="none" w:sz="0" w:space="0" w:color="auto"/>
                <w:bottom w:val="none" w:sz="0" w:space="0" w:color="auto"/>
                <w:right w:val="none" w:sz="0" w:space="0" w:color="auto"/>
              </w:divBdr>
            </w:div>
          </w:divsChild>
        </w:div>
        <w:div w:id="763309169">
          <w:marLeft w:val="0"/>
          <w:marRight w:val="0"/>
          <w:marTop w:val="0"/>
          <w:marBottom w:val="0"/>
          <w:divBdr>
            <w:top w:val="none" w:sz="0" w:space="0" w:color="auto"/>
            <w:left w:val="none" w:sz="0" w:space="0" w:color="auto"/>
            <w:bottom w:val="none" w:sz="0" w:space="0" w:color="auto"/>
            <w:right w:val="none" w:sz="0" w:space="0" w:color="auto"/>
          </w:divBdr>
          <w:divsChild>
            <w:div w:id="8253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07120">
      <w:bodyDiv w:val="1"/>
      <w:marLeft w:val="0"/>
      <w:marRight w:val="0"/>
      <w:marTop w:val="0"/>
      <w:marBottom w:val="0"/>
      <w:divBdr>
        <w:top w:val="none" w:sz="0" w:space="0" w:color="auto"/>
        <w:left w:val="none" w:sz="0" w:space="0" w:color="auto"/>
        <w:bottom w:val="none" w:sz="0" w:space="0" w:color="auto"/>
        <w:right w:val="none" w:sz="0" w:space="0" w:color="auto"/>
      </w:divBdr>
    </w:div>
    <w:div w:id="980580239">
      <w:bodyDiv w:val="1"/>
      <w:marLeft w:val="0"/>
      <w:marRight w:val="0"/>
      <w:marTop w:val="0"/>
      <w:marBottom w:val="0"/>
      <w:divBdr>
        <w:top w:val="none" w:sz="0" w:space="0" w:color="auto"/>
        <w:left w:val="none" w:sz="0" w:space="0" w:color="auto"/>
        <w:bottom w:val="none" w:sz="0" w:space="0" w:color="auto"/>
        <w:right w:val="none" w:sz="0" w:space="0" w:color="auto"/>
      </w:divBdr>
    </w:div>
    <w:div w:id="1545436350">
      <w:bodyDiv w:val="1"/>
      <w:marLeft w:val="0"/>
      <w:marRight w:val="0"/>
      <w:marTop w:val="0"/>
      <w:marBottom w:val="0"/>
      <w:divBdr>
        <w:top w:val="none" w:sz="0" w:space="0" w:color="auto"/>
        <w:left w:val="none" w:sz="0" w:space="0" w:color="auto"/>
        <w:bottom w:val="none" w:sz="0" w:space="0" w:color="auto"/>
        <w:right w:val="none" w:sz="0" w:space="0" w:color="auto"/>
      </w:divBdr>
    </w:div>
    <w:div w:id="1799254664">
      <w:bodyDiv w:val="1"/>
      <w:marLeft w:val="0"/>
      <w:marRight w:val="0"/>
      <w:marTop w:val="0"/>
      <w:marBottom w:val="0"/>
      <w:divBdr>
        <w:top w:val="none" w:sz="0" w:space="0" w:color="auto"/>
        <w:left w:val="none" w:sz="0" w:space="0" w:color="auto"/>
        <w:bottom w:val="none" w:sz="0" w:space="0" w:color="auto"/>
        <w:right w:val="none" w:sz="0" w:space="0" w:color="auto"/>
      </w:divBdr>
    </w:div>
    <w:div w:id="197374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DBF90A95FB4E3EB96CB39DD2C19694"/>
        <w:category>
          <w:name w:val="Général"/>
          <w:gallery w:val="placeholder"/>
        </w:category>
        <w:types>
          <w:type w:val="bbPlcHdr"/>
        </w:types>
        <w:behaviors>
          <w:behavior w:val="content"/>
        </w:behaviors>
        <w:guid w:val="{96F91F8F-B4AF-4917-9F73-E716CE3ABB39}"/>
      </w:docPartPr>
      <w:docPartBody>
        <w:p w:rsidR="00C25007" w:rsidRDefault="00C25007">
          <w:pPr>
            <w:pStyle w:val="02DBF90A95FB4E3EB96CB39DD2C19694"/>
          </w:pPr>
          <w:r w:rsidRPr="00DD2BA1">
            <w:rPr>
              <w:rStyle w:val="Textedelespacerserv"/>
            </w:rPr>
            <w:t>Choisissez un élément.</w:t>
          </w:r>
        </w:p>
      </w:docPartBody>
    </w:docPart>
    <w:docPart>
      <w:docPartPr>
        <w:name w:val="ECFEB952F2AB4A1C94B867058263D586"/>
        <w:category>
          <w:name w:val="Général"/>
          <w:gallery w:val="placeholder"/>
        </w:category>
        <w:types>
          <w:type w:val="bbPlcHdr"/>
        </w:types>
        <w:behaviors>
          <w:behavior w:val="content"/>
        </w:behaviors>
        <w:guid w:val="{FA6FFD47-0618-4462-8763-8A241708C033}"/>
      </w:docPartPr>
      <w:docPartBody>
        <w:p w:rsidR="00C25007" w:rsidRDefault="00C25007">
          <w:pPr>
            <w:pStyle w:val="ECFEB952F2AB4A1C94B867058263D586"/>
          </w:pPr>
          <w:r w:rsidRPr="000D4B46">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Regular">
    <w:altName w:val="Arial"/>
    <w:panose1 w:val="00000000000000000000"/>
    <w:charset w:val="00"/>
    <w:family w:val="auto"/>
    <w:notTrueType/>
    <w:pitch w:val="default"/>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Roboto bold">
    <w:altName w:val="Arial"/>
    <w:panose1 w:val="00000000000000000000"/>
    <w:charset w:val="00"/>
    <w:family w:val="roman"/>
    <w:notTrueType/>
    <w:pitch w:val="default"/>
  </w:font>
  <w:font w:name="Paralucent Bold">
    <w:altName w:val="Calibri"/>
    <w:panose1 w:val="00000000000000000000"/>
    <w:charset w:val="00"/>
    <w:family w:val="modern"/>
    <w:notTrueType/>
    <w:pitch w:val="variable"/>
    <w:sig w:usb0="A00000EF" w:usb1="4000006A" w:usb2="00000000" w:usb3="00000000" w:csb0="00000093" w:csb1="00000000"/>
  </w:font>
  <w:font w:name="Galano Grotesque Alt SemiBold">
    <w:altName w:val="Calibri"/>
    <w:panose1 w:val="00000000000000000000"/>
    <w:charset w:val="00"/>
    <w:family w:val="modern"/>
    <w:notTrueType/>
    <w:pitch w:val="variable"/>
    <w:sig w:usb0="00000007" w:usb1="00000000" w:usb2="00000000" w:usb3="00000000" w:csb0="00000093" w:csb1="00000000"/>
  </w:font>
  <w:font w:name="Noto Sans JP">
    <w:altName w:val="Yu Gothic"/>
    <w:panose1 w:val="00000000000000000000"/>
    <w:charset w:val="80"/>
    <w:family w:val="swiss"/>
    <w:notTrueType/>
    <w:pitch w:val="variable"/>
    <w:sig w:usb0="20000287" w:usb1="2ADF3C10" w:usb2="00000016" w:usb3="00000000" w:csb0="00060107" w:csb1="00000000"/>
  </w:font>
  <w:font w:name="Noto Serif JP Black">
    <w:panose1 w:val="00000000000000000000"/>
    <w:charset w:val="80"/>
    <w:family w:val="roman"/>
    <w:notTrueType/>
    <w:pitch w:val="variable"/>
    <w:sig w:usb0="20000287" w:usb1="2ADF3C10" w:usb2="00000016" w:usb3="00000000" w:csb0="00060107" w:csb1="00000000"/>
  </w:font>
  <w:font w:name="Noto Sans JP Light">
    <w:panose1 w:val="00000000000000000000"/>
    <w:charset w:val="80"/>
    <w:family w:val="swiss"/>
    <w:notTrueType/>
    <w:pitch w:val="variable"/>
    <w:sig w:usb0="20000287" w:usb1="2ADF3C10" w:usb2="00000016" w:usb3="00000000" w:csb0="00060107" w:csb1="00000000"/>
  </w:font>
  <w:font w:name="Vaud">
    <w:panose1 w:val="00000000000000000000"/>
    <w:charset w:val="00"/>
    <w:family w:val="modern"/>
    <w:notTrueType/>
    <w:pitch w:val="variable"/>
    <w:sig w:usb0="A00000AF" w:usb1="5000204A" w:usb2="00000000" w:usb3="00000000" w:csb0="00000193" w:csb1="00000000"/>
  </w:font>
  <w:font w:name="Roboto Condensed">
    <w:altName w:val="Arial"/>
    <w:charset w:val="00"/>
    <w:family w:val="auto"/>
    <w:pitch w:val="variable"/>
    <w:sig w:usb0="E0000AFF" w:usb1="5000217F" w:usb2="00000021" w:usb3="00000000" w:csb0="0000019F" w:csb1="00000000"/>
  </w:font>
  <w:font w:name="Apple Chancery">
    <w:altName w:val="Courier New"/>
    <w:charset w:val="00"/>
    <w:family w:val="auto"/>
    <w:pitch w:val="variable"/>
    <w:sig w:usb0="00000000" w:usb1="00000003" w:usb2="00000000" w:usb3="00000000" w:csb0="000001F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18"/>
    <w:rsid w:val="00283318"/>
    <w:rsid w:val="00C25007"/>
    <w:rsid w:val="00CB53BF"/>
    <w:rsid w:val="00D24522"/>
    <w:rsid w:val="00D5517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CH" w:eastAsia="fr-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55174"/>
    <w:rPr>
      <w:color w:val="808080"/>
    </w:rPr>
  </w:style>
  <w:style w:type="paragraph" w:customStyle="1" w:styleId="02DBF90A95FB4E3EB96CB39DD2C19694">
    <w:name w:val="02DBF90A95FB4E3EB96CB39DD2C19694"/>
  </w:style>
  <w:style w:type="paragraph" w:customStyle="1" w:styleId="ECFEB952F2AB4A1C94B867058263D586">
    <w:name w:val="ECFEB952F2AB4A1C94B867058263D5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LTIS">
      <a:majorFont>
        <a:latin typeface="Paralucent Bol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C6879-3D70-46A3-BED9-DE7A40B3104D}">
  <ds:schemaRefs>
    <ds:schemaRef ds:uri="http://schemas.openxmlformats.org/officeDocument/2006/bibliography"/>
  </ds:schemaRefs>
</ds:datastoreItem>
</file>

<file path=docMetadata/LabelInfo.xml><?xml version="1.0" encoding="utf-8"?>
<clbl:labelList xmlns:clbl="http://schemas.microsoft.com/office/2020/mipLabelMetadata">
  <clbl:label id="{f6f71716-f65f-4331-a541-68c254589a08}" enabled="0" method="" siteId="{f6f71716-f65f-4331-a541-68c254589a08}" removed="1"/>
</clbl:labelList>
</file>

<file path=docProps/app.xml><?xml version="1.0" encoding="utf-8"?>
<Properties xmlns="http://schemas.openxmlformats.org/officeDocument/2006/extended-properties" xmlns:vt="http://schemas.openxmlformats.org/officeDocument/2006/docPropsVTypes">
  <Template>Normal</Template>
  <TotalTime>37</TotalTime>
  <Pages>2</Pages>
  <Words>1145</Words>
  <Characters>6298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Laigle Julie</dc:creator>
  <cp:keywords/>
  <dc:description/>
  <cp:lastModifiedBy>Mahmoudi Hind</cp:lastModifiedBy>
  <cp:revision>7</cp:revision>
  <dcterms:created xsi:type="dcterms:W3CDTF">2025-04-08T09:41:00Z</dcterms:created>
  <dcterms:modified xsi:type="dcterms:W3CDTF">2025-05-19T12:56:00Z</dcterms:modified>
</cp:coreProperties>
</file>